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03AD" w:rsidRPr="00D603AD" w:rsidRDefault="00D603AD" w:rsidP="00D603AD">
      <w:pPr>
        <w:widowControl w:val="0"/>
        <w:suppressAutoHyphens/>
        <w:spacing w:after="0" w:line="240" w:lineRule="auto"/>
        <w:jc w:val="center"/>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5066665</wp:posOffset>
                </wp:positionH>
                <wp:positionV relativeFrom="paragraph">
                  <wp:posOffset>58420</wp:posOffset>
                </wp:positionV>
                <wp:extent cx="1153160" cy="276225"/>
                <wp:effectExtent l="13970" t="5715" r="1397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76225"/>
                        </a:xfrm>
                        <a:prstGeom prst="rect">
                          <a:avLst/>
                        </a:prstGeom>
                        <a:solidFill>
                          <a:srgbClr val="FFFFFF"/>
                        </a:solidFill>
                        <a:ln w="9525">
                          <a:solidFill>
                            <a:srgbClr val="FFFFFF"/>
                          </a:solidFill>
                          <a:miter lim="800000"/>
                          <a:headEnd/>
                          <a:tailEnd/>
                        </a:ln>
                      </wps:spPr>
                      <wps:txbx>
                        <w:txbxContent>
                          <w:p w:rsidR="00D603AD" w:rsidRPr="006C6421" w:rsidRDefault="00D603AD" w:rsidP="00D603AD">
                            <w:pPr>
                              <w:pStyle w:val="Standard"/>
                              <w:jc w:val="right"/>
                              <w:rPr>
                                <w:lang w:val="ru-RU"/>
                              </w:rPr>
                            </w:pPr>
                            <w:r>
                              <w:t>«В регистр»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98.95pt;margin-top:4.6pt;width:90.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" strokecolor="white">
                <v:textbox style="mso-fit-shape-to-text:t">
                  <w:txbxContent>
                    <w:p w:rsidR="00D603AD" w:rsidRPr="006C6421" w:rsidRDefault="00D603AD" w:rsidP="00D603AD">
                      <w:pPr>
                        <w:pStyle w:val="Standard"/>
                        <w:jc w:val="right"/>
                        <w:rPr>
                          <w:lang w:val="ru-RU"/>
                        </w:rPr>
                      </w:pPr>
                      <w:r>
                        <w:t>«В регистр»</w:t>
                      </w:r>
                    </w:p>
                  </w:txbxContent>
                </v:textbox>
              </v:shape>
            </w:pict>
          </mc:Fallback>
        </mc:AlternateContent>
      </w:r>
      <w:r>
        <w:rPr>
          <w:rFonts w:ascii="Times New Roman" w:eastAsia="Times New Roman" w:hAnsi="Times New Roman" w:cs="Times New Roman"/>
          <w:noProof/>
          <w:kern w:val="1"/>
          <w:sz w:val="24"/>
          <w:szCs w:val="24"/>
          <w:lang w:eastAsia="ru-RU"/>
        </w:rPr>
        <w:drawing>
          <wp:inline distT="0" distB="0" distL="0" distR="0">
            <wp:extent cx="590550" cy="704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D603AD" w:rsidRPr="00D603AD" w:rsidRDefault="00D603AD" w:rsidP="00D603AD">
      <w:pPr>
        <w:tabs>
          <w:tab w:val="num" w:pos="0"/>
        </w:tabs>
        <w:suppressAutoHyphens/>
        <w:spacing w:before="240" w:after="60" w:line="240" w:lineRule="auto"/>
        <w:ind w:left="1008" w:hanging="1008"/>
        <w:jc w:val="center"/>
        <w:outlineLvl w:val="4"/>
        <w:rPr>
          <w:rFonts w:ascii="Times New Roman" w:eastAsia="Calibri" w:hAnsi="Times New Roman" w:cs="Times New Roman"/>
          <w:sz w:val="32"/>
          <w:szCs w:val="32"/>
          <w:lang w:eastAsia="ar-SA"/>
        </w:rPr>
      </w:pPr>
      <w:r w:rsidRPr="00D603AD">
        <w:rPr>
          <w:rFonts w:ascii="Times New Roman" w:eastAsia="Calibri" w:hAnsi="Times New Roman" w:cs="Times New Roman"/>
          <w:sz w:val="32"/>
          <w:szCs w:val="32"/>
          <w:lang w:eastAsia="ar-SA"/>
        </w:rPr>
        <w:t>АДМИНИСТРАЦИЯ ГОРОДА ЮГОРСКА</w:t>
      </w:r>
    </w:p>
    <w:p w:rsidR="00D603AD" w:rsidRPr="00D603AD" w:rsidRDefault="00D603AD" w:rsidP="00D603AD">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D603AD">
        <w:rPr>
          <w:rFonts w:ascii="Times New Roman" w:eastAsia="Times New Roman" w:hAnsi="Times New Roman" w:cs="Times New Roman"/>
          <w:sz w:val="28"/>
          <w:szCs w:val="28"/>
          <w:lang w:eastAsia="ar-SA"/>
        </w:rPr>
        <w:t>Ханты - Мансийского автономного округа – Югры</w:t>
      </w:r>
    </w:p>
    <w:p w:rsidR="00D603AD" w:rsidRPr="00D603AD" w:rsidRDefault="00D603AD" w:rsidP="00D603AD">
      <w:pPr>
        <w:suppressAutoHyphens/>
        <w:spacing w:after="0" w:line="240" w:lineRule="auto"/>
        <w:jc w:val="center"/>
        <w:rPr>
          <w:rFonts w:ascii="Times New Roman" w:eastAsia="Times New Roman" w:hAnsi="Times New Roman" w:cs="Times New Roman"/>
          <w:sz w:val="36"/>
          <w:szCs w:val="36"/>
          <w:lang w:eastAsia="ar-SA"/>
        </w:rPr>
      </w:pPr>
    </w:p>
    <w:p w:rsidR="00D603AD" w:rsidRPr="00D603AD" w:rsidRDefault="00D603AD" w:rsidP="00D603AD">
      <w:pPr>
        <w:suppressAutoHyphens/>
        <w:spacing w:after="0" w:line="240" w:lineRule="auto"/>
        <w:jc w:val="center"/>
        <w:rPr>
          <w:rFonts w:ascii="Times New Roman" w:eastAsia="Times New Roman" w:hAnsi="Times New Roman" w:cs="Times New Roman"/>
          <w:sz w:val="36"/>
          <w:szCs w:val="36"/>
          <w:lang w:eastAsia="ar-SA"/>
        </w:rPr>
      </w:pPr>
      <w:r w:rsidRPr="00D603AD">
        <w:rPr>
          <w:rFonts w:ascii="Times New Roman" w:eastAsia="Times New Roman" w:hAnsi="Times New Roman" w:cs="Times New Roman"/>
          <w:sz w:val="36"/>
          <w:szCs w:val="36"/>
          <w:lang w:eastAsia="ar-SA"/>
        </w:rPr>
        <w:t>ПОСТАНОВЛЕНИЕ</w:t>
      </w:r>
    </w:p>
    <w:p w:rsidR="00D603AD" w:rsidRPr="00D603AD" w:rsidRDefault="00D603AD" w:rsidP="00D603AD">
      <w:pPr>
        <w:suppressAutoHyphens/>
        <w:spacing w:after="0" w:line="240" w:lineRule="auto"/>
        <w:jc w:val="center"/>
        <w:rPr>
          <w:rFonts w:ascii="Times New Roman" w:eastAsia="Times New Roman" w:hAnsi="Times New Roman" w:cs="Times New Roman"/>
          <w:sz w:val="36"/>
          <w:szCs w:val="36"/>
          <w:lang w:eastAsia="ar-SA"/>
        </w:rPr>
      </w:pPr>
    </w:p>
    <w:p w:rsidR="00D603AD" w:rsidRPr="00D603AD" w:rsidRDefault="00D603AD" w:rsidP="00D603AD">
      <w:pPr>
        <w:suppressAutoHyphens/>
        <w:spacing w:after="0" w:line="240" w:lineRule="auto"/>
        <w:rPr>
          <w:rFonts w:ascii="Times New Roman" w:eastAsia="Times New Roman" w:hAnsi="Times New Roman" w:cs="Times New Roman"/>
          <w:sz w:val="20"/>
          <w:szCs w:val="20"/>
          <w:lang w:eastAsia="ar-SA"/>
        </w:rPr>
      </w:pPr>
    </w:p>
    <w:p w:rsidR="00D603AD" w:rsidRPr="00D603AD" w:rsidRDefault="00D603AD" w:rsidP="00D603AD">
      <w:pPr>
        <w:suppressAutoHyphens/>
        <w:spacing w:after="0" w:line="240" w:lineRule="auto"/>
        <w:rPr>
          <w:rFonts w:ascii="Times New Roman" w:eastAsia="Times New Roman" w:hAnsi="Times New Roman" w:cs="Times New Roman"/>
          <w:sz w:val="24"/>
          <w:szCs w:val="24"/>
          <w:lang w:eastAsia="ar-SA"/>
        </w:rPr>
      </w:pPr>
      <w:r w:rsidRPr="00D603AD">
        <w:rPr>
          <w:rFonts w:ascii="Times New Roman" w:eastAsia="Times New Roman" w:hAnsi="Times New Roman" w:cs="Times New Roman"/>
          <w:sz w:val="24"/>
          <w:szCs w:val="24"/>
          <w:lang w:eastAsia="ar-SA"/>
        </w:rPr>
        <w:t xml:space="preserve">от </w:t>
      </w:r>
      <w:r w:rsidR="005832CF" w:rsidRPr="005832CF">
        <w:rPr>
          <w:rFonts w:ascii="Times New Roman" w:eastAsia="Times New Roman" w:hAnsi="Times New Roman" w:cs="Times New Roman"/>
          <w:sz w:val="24"/>
          <w:szCs w:val="24"/>
          <w:u w:val="single"/>
          <w:lang w:eastAsia="ar-SA"/>
        </w:rPr>
        <w:t>20 июня 2019 года</w:t>
      </w:r>
      <w:r w:rsidRPr="00D603AD">
        <w:rPr>
          <w:rFonts w:ascii="Times New Roman" w:eastAsia="Times New Roman" w:hAnsi="Times New Roman" w:cs="Times New Roman"/>
          <w:sz w:val="24"/>
          <w:szCs w:val="24"/>
          <w:lang w:eastAsia="ar-SA"/>
        </w:rPr>
        <w:t xml:space="preserve">                                                                                   </w:t>
      </w:r>
      <w:r w:rsidR="005832CF">
        <w:rPr>
          <w:rFonts w:ascii="Times New Roman" w:eastAsia="Times New Roman" w:hAnsi="Times New Roman" w:cs="Times New Roman"/>
          <w:sz w:val="24"/>
          <w:szCs w:val="24"/>
          <w:lang w:eastAsia="ar-SA"/>
        </w:rPr>
        <w:t xml:space="preserve">   </w:t>
      </w:r>
      <w:r w:rsidRPr="00D603AD">
        <w:rPr>
          <w:rFonts w:ascii="Times New Roman" w:eastAsia="Times New Roman" w:hAnsi="Times New Roman" w:cs="Times New Roman"/>
          <w:sz w:val="24"/>
          <w:szCs w:val="24"/>
          <w:lang w:eastAsia="ar-SA"/>
        </w:rPr>
        <w:t xml:space="preserve">                              № </w:t>
      </w:r>
      <w:r w:rsidR="005832CF" w:rsidRPr="005832CF">
        <w:rPr>
          <w:rFonts w:ascii="Times New Roman" w:eastAsia="Times New Roman" w:hAnsi="Times New Roman" w:cs="Times New Roman"/>
          <w:sz w:val="24"/>
          <w:szCs w:val="24"/>
          <w:u w:val="single"/>
          <w:lang w:eastAsia="ar-SA"/>
        </w:rPr>
        <w:t>1348</w:t>
      </w:r>
    </w:p>
    <w:p w:rsidR="00D603AD" w:rsidRPr="00D603AD" w:rsidRDefault="00D603AD" w:rsidP="00D603AD">
      <w:pPr>
        <w:suppressAutoHyphens/>
        <w:spacing w:after="0" w:line="240" w:lineRule="auto"/>
        <w:rPr>
          <w:rFonts w:ascii="Times New Roman" w:eastAsia="Times New Roman" w:hAnsi="Times New Roman" w:cs="Times New Roman"/>
          <w:sz w:val="24"/>
          <w:szCs w:val="24"/>
          <w:lang w:eastAsia="ar-SA"/>
        </w:rPr>
      </w:pPr>
    </w:p>
    <w:p w:rsidR="00D603AD" w:rsidRPr="00D603AD" w:rsidRDefault="00D603AD" w:rsidP="00D603AD">
      <w:pPr>
        <w:suppressAutoHyphens/>
        <w:spacing w:after="0" w:line="240" w:lineRule="auto"/>
        <w:rPr>
          <w:rFonts w:ascii="Times New Roman" w:eastAsia="Times New Roman" w:hAnsi="Times New Roman" w:cs="Times New Roman"/>
          <w:sz w:val="24"/>
          <w:szCs w:val="24"/>
          <w:lang w:eastAsia="ar-SA"/>
        </w:rPr>
      </w:pPr>
    </w:p>
    <w:p w:rsidR="00D603AD" w:rsidRPr="00D603AD" w:rsidRDefault="00D603AD" w:rsidP="00D603AD">
      <w:pPr>
        <w:spacing w:after="0" w:line="240" w:lineRule="auto"/>
        <w:outlineLvl w:val="6"/>
        <w:rPr>
          <w:rFonts w:ascii="Times New Roman" w:eastAsia="Times New Roman" w:hAnsi="Times New Roman" w:cs="Times New Roman"/>
          <w:bCs/>
          <w:sz w:val="24"/>
          <w:szCs w:val="24"/>
          <w:lang w:eastAsia="ru-RU"/>
        </w:rPr>
      </w:pPr>
      <w:bookmarkStart w:id="1" w:name="OLE_LINK1"/>
      <w:bookmarkStart w:id="2" w:name="OLE_LINK2"/>
      <w:r w:rsidRPr="00D603AD">
        <w:rPr>
          <w:rFonts w:ascii="Times New Roman" w:eastAsia="Times New Roman" w:hAnsi="Times New Roman" w:cs="Times New Roman"/>
          <w:bCs/>
          <w:sz w:val="24"/>
          <w:szCs w:val="24"/>
          <w:lang w:eastAsia="ru-RU"/>
        </w:rPr>
        <w:t>Об утверждении Положения</w:t>
      </w:r>
    </w:p>
    <w:p w:rsidR="00D603AD" w:rsidRPr="00D603AD" w:rsidRDefault="00D603AD" w:rsidP="00D603AD">
      <w:pPr>
        <w:spacing w:after="0" w:line="240" w:lineRule="auto"/>
        <w:outlineLvl w:val="6"/>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об установлении системы оплаты труда</w:t>
      </w:r>
    </w:p>
    <w:p w:rsidR="00D603AD" w:rsidRPr="00D603AD" w:rsidRDefault="00D603AD" w:rsidP="00D603AD">
      <w:pPr>
        <w:spacing w:after="0" w:line="240" w:lineRule="auto"/>
        <w:outlineLvl w:val="6"/>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работников муниципальных дошкольных образовательных</w:t>
      </w:r>
    </w:p>
    <w:p w:rsidR="00D603AD" w:rsidRPr="00D603AD" w:rsidRDefault="00D603AD" w:rsidP="00D603AD">
      <w:pPr>
        <w:spacing w:after="0" w:line="240" w:lineRule="auto"/>
        <w:outlineLvl w:val="6"/>
        <w:rPr>
          <w:rFonts w:ascii="Times New Roman" w:eastAsia="Times New Roman" w:hAnsi="Times New Roman" w:cs="Times New Roman"/>
          <w:sz w:val="24"/>
          <w:szCs w:val="24"/>
          <w:lang w:eastAsia="ru-RU"/>
        </w:rPr>
      </w:pPr>
      <w:r w:rsidRPr="00D603AD">
        <w:rPr>
          <w:rFonts w:ascii="Times New Roman" w:eastAsia="Times New Roman" w:hAnsi="Times New Roman" w:cs="Times New Roman"/>
          <w:bCs/>
          <w:sz w:val="24"/>
          <w:szCs w:val="24"/>
          <w:lang w:eastAsia="ru-RU"/>
        </w:rPr>
        <w:t>и общеобразовательных организаций города Югорска</w:t>
      </w:r>
      <w:bookmarkEnd w:id="1"/>
      <w:bookmarkEnd w:id="2"/>
    </w:p>
    <w:p w:rsidR="00D603AD" w:rsidRPr="00D603AD" w:rsidRDefault="00D603AD" w:rsidP="00D603AD">
      <w:pPr>
        <w:spacing w:after="0" w:line="240" w:lineRule="auto"/>
        <w:rPr>
          <w:rFonts w:ascii="Times New Roman" w:eastAsia="Times New Roman" w:hAnsi="Times New Roman" w:cs="Times New Roman"/>
          <w:sz w:val="24"/>
          <w:szCs w:val="24"/>
          <w:lang w:eastAsia="ru-RU"/>
        </w:rPr>
      </w:pPr>
    </w:p>
    <w:p w:rsidR="00D603AD" w:rsidRPr="00D603AD" w:rsidRDefault="00D603AD" w:rsidP="00D603AD">
      <w:pPr>
        <w:spacing w:after="0" w:line="240" w:lineRule="auto"/>
        <w:rPr>
          <w:rFonts w:ascii="Times New Roman" w:eastAsia="Times New Roman" w:hAnsi="Times New Roman" w:cs="Times New Roman"/>
          <w:sz w:val="24"/>
          <w:szCs w:val="24"/>
          <w:lang w:eastAsia="ru-RU"/>
        </w:rPr>
      </w:pP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соответствии со статьей 144 Трудового кодекса Российской Федерации, на основании приказа Департамента образования и молодежной политики Ханты - Мансийского автономного округа – Югры от 02.03.2017 № 3 - нп «Об утверждении Положений об установлении систем оплаты труда работников государственных образовательных организаций Ханты - Мансийского автономного округа – Югры, подведомственных Департаменту образования и молодежной политики Ханты - Мансийского автономного округа – Югры»:</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 Утвердить Положение об установлении системы оплаты труда работников муниципальных дошкольных образовательных и общеобразовательных организаций города Югорска (далее – Положение) (приложение).</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 Руководителям муниципальных дошкольных образовательных                                                  и общеобразовательных организаций города Югорска:</w:t>
      </w:r>
    </w:p>
    <w:p w:rsidR="00D603AD" w:rsidRPr="00D603AD" w:rsidRDefault="00D603AD" w:rsidP="00D603A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 Обеспечить соблюдение требований законодательства Российской Федерации                           в отношении работников при изменении условий, определенных трудовым договором.</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 Провести разъяснительную работу в трудовых коллективах по вопросам начисления заработной платы работникам организации.</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sz w:val="24"/>
          <w:szCs w:val="24"/>
          <w:lang w:eastAsia="ru-RU"/>
        </w:rPr>
        <w:t>3. Признать утратившими силу постановления администрации города Югорска:</w:t>
      </w:r>
    </w:p>
    <w:p w:rsidR="00D603AD" w:rsidRPr="00D603AD" w:rsidRDefault="00D603AD" w:rsidP="00D603AD">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sz w:val="24"/>
          <w:szCs w:val="24"/>
          <w:lang w:eastAsia="ru-RU"/>
        </w:rPr>
        <w:t>- от 12.12.2017 № 3083 «Об утверждении Примерного Положения об установлении системы оплаты труда работников муниципальных образовательных организаций города Югорска</w:t>
      </w:r>
      <w:r w:rsidRPr="00D603AD">
        <w:rPr>
          <w:rFonts w:ascii="Times New Roman" w:eastAsia="Times New Roman" w:hAnsi="Times New Roman" w:cs="Times New Roman"/>
          <w:bCs/>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xml:space="preserve">- от 25.12.2017 № 3292 «О внесении изменений в постановление администрации города Югорска от 12.12.2017 № 3083 </w:t>
      </w:r>
      <w:r w:rsidRPr="00D603AD">
        <w:rPr>
          <w:rFonts w:ascii="Times New Roman" w:eastAsia="Times New Roman" w:hAnsi="Times New Roman" w:cs="Times New Roman"/>
          <w:sz w:val="24"/>
          <w:szCs w:val="24"/>
          <w:lang w:eastAsia="ru-RU"/>
        </w:rPr>
        <w:t>«Об утверждении Примерного Положения об установлении системы оплаты труда работников муниципальных образовательных организаций города Югорска</w:t>
      </w:r>
      <w:r w:rsidRPr="00D603AD">
        <w:rPr>
          <w:rFonts w:ascii="Times New Roman" w:eastAsia="Times New Roman" w:hAnsi="Times New Roman" w:cs="Times New Roman"/>
          <w:bCs/>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sz w:val="24"/>
          <w:szCs w:val="24"/>
          <w:lang w:eastAsia="ru-RU"/>
        </w:rPr>
        <w:t>4.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r w:rsidRPr="00D603AD">
        <w:rPr>
          <w:rFonts w:ascii="Times New Roman" w:eastAsia="Times New Roman" w:hAnsi="Times New Roman" w:cs="Times New Roman"/>
          <w:color w:val="000000"/>
          <w:spacing w:val="6"/>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color w:val="000000"/>
          <w:sz w:val="24"/>
          <w:szCs w:val="24"/>
          <w:lang w:eastAsia="ru-RU"/>
        </w:rPr>
        <w:t xml:space="preserve">5. Настоящее постановление вступает в силу </w:t>
      </w:r>
      <w:r w:rsidRPr="00D603AD">
        <w:rPr>
          <w:rFonts w:ascii="Times New Roman" w:eastAsia="Calibri" w:hAnsi="Times New Roman" w:cs="Times New Roman"/>
          <w:sz w:val="24"/>
          <w:szCs w:val="24"/>
          <w:lang w:eastAsia="ru-RU"/>
        </w:rPr>
        <w:t>после его официального опубликования                   и распространяется на правоотношения, возникшие с 01.01.2019</w:t>
      </w:r>
      <w:r w:rsidRPr="00D603AD">
        <w:rPr>
          <w:rFonts w:ascii="Times New Roman" w:eastAsia="Times New Roman" w:hAnsi="Times New Roman" w:cs="Times New Roman"/>
          <w:color w:val="000000"/>
          <w:spacing w:val="6"/>
          <w:sz w:val="24"/>
          <w:szCs w:val="24"/>
          <w:lang w:eastAsia="ru-RU"/>
        </w:rPr>
        <w:t>.</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color w:val="000000"/>
          <w:spacing w:val="6"/>
          <w:sz w:val="24"/>
          <w:szCs w:val="24"/>
          <w:lang w:eastAsia="ru-RU"/>
        </w:rPr>
        <w:t>Установить, что пункт 54 Положения к настоящему постановлению вступает в силу после его официального опубликования, но не ранее 01.01.2020.</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D603AD">
        <w:rPr>
          <w:rFonts w:ascii="Times New Roman" w:eastAsia="Times New Roman" w:hAnsi="Times New Roman" w:cs="Times New Roman"/>
          <w:color w:val="000000"/>
          <w:spacing w:val="6"/>
          <w:sz w:val="24"/>
          <w:szCs w:val="24"/>
          <w:lang w:eastAsia="ru-RU"/>
        </w:rPr>
        <w:t>6. Контроль за выполнением постановления возложить на заместителя главы города Югорска Т.И. Долгодворову.</w:t>
      </w:r>
    </w:p>
    <w:p w:rsidR="00D603AD" w:rsidRPr="00D603AD" w:rsidRDefault="00D603AD" w:rsidP="00D603AD">
      <w:pPr>
        <w:spacing w:after="0" w:line="240" w:lineRule="auto"/>
        <w:rPr>
          <w:rFonts w:ascii="Times New Roman" w:eastAsia="Times New Roman" w:hAnsi="Times New Roman" w:cs="Times New Roman"/>
          <w:sz w:val="24"/>
          <w:szCs w:val="24"/>
          <w:lang w:eastAsia="ru-RU"/>
        </w:rPr>
      </w:pPr>
    </w:p>
    <w:p w:rsidR="00D603AD" w:rsidRPr="00D603AD" w:rsidRDefault="00D603AD" w:rsidP="00D603AD">
      <w:pPr>
        <w:spacing w:after="0" w:line="240" w:lineRule="auto"/>
        <w:rPr>
          <w:rFonts w:ascii="Times New Roman" w:eastAsia="Times New Roman" w:hAnsi="Times New Roman" w:cs="Times New Roman"/>
          <w:sz w:val="24"/>
          <w:szCs w:val="24"/>
          <w:lang w:eastAsia="ru-RU"/>
        </w:rPr>
      </w:pPr>
    </w:p>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sidRPr="00D603AD">
        <w:rPr>
          <w:rFonts w:ascii="Times New Roman" w:eastAsia="Times New Roman" w:hAnsi="Times New Roman" w:cs="Times New Roman"/>
          <w:b/>
          <w:bCs/>
          <w:color w:val="000000"/>
          <w:spacing w:val="-2"/>
          <w:sz w:val="24"/>
          <w:szCs w:val="24"/>
          <w:lang w:eastAsia="ru-RU"/>
        </w:rPr>
        <w:t>Глава города Югорска                                                                                                     А.В. Бородкин</w:t>
      </w:r>
    </w:p>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sectPr w:rsidR="00D603AD" w:rsidRPr="00D603AD" w:rsidSect="00BE652C">
          <w:headerReference w:type="even" r:id="rId7"/>
          <w:pgSz w:w="11905" w:h="16838" w:code="9"/>
          <w:pgMar w:top="397" w:right="567" w:bottom="851" w:left="1418" w:header="720" w:footer="720" w:gutter="0"/>
          <w:cols w:space="720"/>
        </w:sectPr>
      </w:pPr>
    </w:p>
    <w:p w:rsidR="00D603AD" w:rsidRPr="00D603AD" w:rsidRDefault="00D603AD" w:rsidP="00D603AD">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eastAsia="ru-RU"/>
        </w:rPr>
        <w:lastRenderedPageBreak/>
        <w:t>Приложение</w:t>
      </w:r>
    </w:p>
    <w:p w:rsidR="00D603AD" w:rsidRPr="00D603AD" w:rsidRDefault="00D603AD" w:rsidP="00D603AD">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eastAsia="ru-RU"/>
        </w:rPr>
        <w:t>к постановлению</w:t>
      </w:r>
    </w:p>
    <w:p w:rsidR="00D603AD" w:rsidRPr="00D603AD" w:rsidRDefault="00D603AD" w:rsidP="00D603AD">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eastAsia="ru-RU"/>
        </w:rPr>
        <w:t>администрации города Югорска</w:t>
      </w:r>
    </w:p>
    <w:p w:rsidR="00D603AD" w:rsidRPr="00D603AD" w:rsidRDefault="00D603AD" w:rsidP="00D603AD">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eastAsia="ru-RU"/>
        </w:rPr>
        <w:t xml:space="preserve">от </w:t>
      </w:r>
      <w:r w:rsidR="005832CF" w:rsidRPr="005832CF">
        <w:rPr>
          <w:rFonts w:ascii="Times New Roman" w:eastAsia="Times New Roman" w:hAnsi="Times New Roman" w:cs="Times New Roman"/>
          <w:b/>
          <w:sz w:val="24"/>
          <w:szCs w:val="24"/>
          <w:u w:val="single"/>
          <w:lang w:eastAsia="ar-SA"/>
        </w:rPr>
        <w:t>20 июня 2019 года</w:t>
      </w:r>
      <w:r w:rsidRPr="00D603AD">
        <w:rPr>
          <w:rFonts w:ascii="Times New Roman" w:eastAsia="Times New Roman" w:hAnsi="Times New Roman" w:cs="Times New Roman"/>
          <w:b/>
          <w:sz w:val="24"/>
          <w:szCs w:val="24"/>
          <w:lang w:eastAsia="ru-RU"/>
        </w:rPr>
        <w:t xml:space="preserve"> № </w:t>
      </w:r>
      <w:r w:rsidR="005832CF" w:rsidRPr="005832CF">
        <w:rPr>
          <w:rFonts w:ascii="Times New Roman" w:eastAsia="Times New Roman" w:hAnsi="Times New Roman" w:cs="Times New Roman"/>
          <w:b/>
          <w:sz w:val="24"/>
          <w:szCs w:val="24"/>
          <w:u w:val="single"/>
          <w:lang w:eastAsia="ru-RU"/>
        </w:rPr>
        <w:t>1348</w:t>
      </w: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3AD">
        <w:rPr>
          <w:rFonts w:ascii="Times New Roman" w:eastAsia="Times New Roman" w:hAnsi="Times New Roman" w:cs="Times New Roman"/>
          <w:b/>
          <w:bCs/>
          <w:sz w:val="24"/>
          <w:szCs w:val="24"/>
          <w:lang w:eastAsia="ru-RU"/>
        </w:rPr>
        <w:t xml:space="preserve">Положение об установлении системы </w:t>
      </w:r>
      <w:r w:rsidRPr="00D603AD">
        <w:rPr>
          <w:rFonts w:ascii="Times New Roman" w:eastAsia="Times New Roman" w:hAnsi="Times New Roman" w:cs="Times New Roman"/>
          <w:b/>
          <w:sz w:val="24"/>
          <w:szCs w:val="24"/>
          <w:lang w:eastAsia="ru-RU"/>
        </w:rPr>
        <w:t xml:space="preserve">оплаты </w:t>
      </w:r>
      <w:r w:rsidRPr="00D603AD">
        <w:rPr>
          <w:rFonts w:ascii="Times New Roman" w:eastAsia="Times New Roman" w:hAnsi="Times New Roman" w:cs="Times New Roman"/>
          <w:b/>
          <w:bCs/>
          <w:sz w:val="24"/>
          <w:szCs w:val="24"/>
          <w:lang w:eastAsia="ru-RU"/>
        </w:rPr>
        <w:t>труда работников муниципальных дошкольных образовательных и общеобразовательных организаций города Югорска (далее – Положение)</w:t>
      </w: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I</w:t>
      </w:r>
      <w:r w:rsidRPr="00D603AD">
        <w:rPr>
          <w:rFonts w:ascii="Times New Roman" w:eastAsia="Times New Roman" w:hAnsi="Times New Roman" w:cs="Times New Roman"/>
          <w:b/>
          <w:sz w:val="24"/>
          <w:szCs w:val="24"/>
          <w:lang w:eastAsia="ru-RU"/>
        </w:rPr>
        <w:t>. Общие положения</w:t>
      </w:r>
    </w:p>
    <w:p w:rsidR="00D603AD" w:rsidRPr="00D603AD" w:rsidRDefault="00D603AD" w:rsidP="00B540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 Настоящее Положение разработано в соответствии со статьями 135, 144 и 145 Трудового кодекса Российской Федерации, устанавливает систему и условия оплаты труда                    и регулирует правоотношения в сфере оплаты труда работников муниципальных дошкольных образовательных и общеобразовательных организаций города Югорска (далее                            соответственно – работники, организации) и определяет: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основные условия оплаты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порядок и условия осуществления компенсационных выплат;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порядок и условия осуществления стимулирующих выплат, критерии их установления;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порядок и условия оплаты труда руководителя организации, его заместителей, главного бухгалтера;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другие вопросы оплаты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порядок формирования фонда оплаты труда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заключительные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 Схема расчетов должностных окладов, тарифных ставок устанавливается исходя                    из ставки заработной платы в размере 6 300 рублей (далее – ставка заработной платы).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 Система оплаты труда работников организации устанавливается с учетом: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государственных гарантий по оплате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8" w:history="1">
        <w:r w:rsidRPr="00D603AD">
          <w:rPr>
            <w:rFonts w:ascii="Times New Roman" w:eastAsia="Times New Roman" w:hAnsi="Times New Roman" w:cs="Times New Roman"/>
            <w:sz w:val="24"/>
            <w:szCs w:val="24"/>
            <w:lang w:eastAsia="ru-RU"/>
          </w:rPr>
          <w:t>Указа</w:t>
        </w:r>
      </w:hyperlink>
      <w:r w:rsidRPr="00D603AD">
        <w:rPr>
          <w:rFonts w:ascii="Times New Roman" w:eastAsia="Times New Roman" w:hAnsi="Times New Roman" w:cs="Times New Roman"/>
          <w:sz w:val="24"/>
          <w:szCs w:val="24"/>
          <w:lang w:eastAsia="ru-RU"/>
        </w:rPr>
        <w:t xml:space="preserve"> Президента Российской Федерации от 07.05.2012 № 597 «О мероприятиях                     по реализации государственной социальной политики»;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9" w:history="1">
        <w:r w:rsidRPr="00D603AD">
          <w:rPr>
            <w:rFonts w:ascii="Times New Roman" w:eastAsia="Times New Roman" w:hAnsi="Times New Roman" w:cs="Times New Roman"/>
            <w:sz w:val="24"/>
            <w:szCs w:val="24"/>
            <w:lang w:eastAsia="ru-RU"/>
          </w:rPr>
          <w:t>постановления</w:t>
        </w:r>
      </w:hyperlink>
      <w:r w:rsidRPr="00D603AD">
        <w:rPr>
          <w:rFonts w:ascii="Times New Roman" w:eastAsia="Times New Roman" w:hAnsi="Times New Roman" w:cs="Times New Roman"/>
          <w:sz w:val="24"/>
          <w:szCs w:val="24"/>
          <w:lang w:eastAsia="ru-RU"/>
        </w:rPr>
        <w:t xml:space="preserve"> Министерства труда и социального развития Российской Федерации                  от 10.11.1992 № 31 «Об утверждении тарифно-квалификационных характеристик                                  по общеотраслевым профессиям рабочих»;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10" w:history="1">
        <w:r w:rsidRPr="00D603AD">
          <w:rPr>
            <w:rFonts w:ascii="Times New Roman" w:eastAsia="Times New Roman" w:hAnsi="Times New Roman" w:cs="Times New Roman"/>
            <w:sz w:val="24"/>
            <w:szCs w:val="24"/>
            <w:lang w:eastAsia="ru-RU"/>
          </w:rPr>
          <w:t>постановления</w:t>
        </w:r>
      </w:hyperlink>
      <w:r w:rsidRPr="00D603AD">
        <w:rPr>
          <w:rFonts w:ascii="Times New Roman" w:eastAsia="Times New Roman" w:hAnsi="Times New Roman" w:cs="Times New Roman"/>
          <w:sz w:val="24"/>
          <w:szCs w:val="24"/>
          <w:lang w:eastAsia="ru-RU"/>
        </w:rPr>
        <w:t xml:space="preserve"> Министерства труда и социального развития  Российской Федерации                      от 21.08.1998 № 37 «Об утверждении Квалификационного справочника должностей руководителей, специалистов и других служащих»;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11" w:history="1">
        <w:r w:rsidRPr="00D603AD">
          <w:rPr>
            <w:rFonts w:ascii="Times New Roman" w:eastAsia="Times New Roman" w:hAnsi="Times New Roman" w:cs="Times New Roman"/>
            <w:sz w:val="24"/>
            <w:szCs w:val="24"/>
            <w:lang w:eastAsia="ru-RU"/>
          </w:rPr>
          <w:t>приказа</w:t>
        </w:r>
      </w:hyperlink>
      <w:r w:rsidRPr="00D603AD">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приказа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приказа Министерства труда и социальной защиты Российской Федерации                               от 10.09.2015 № 625н «Об утверждении профессионального стандарта «Специалист в сфере закупок»;</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приказа Министерства труда и социальной защиты Российской Федерации                                 от 06.10.2015 № 691н «Об утверждении профессионального стандарта «Специалист                             по управлению персоналом»;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w:t>
      </w:r>
      <w:hyperlink r:id="rId12" w:history="1">
        <w:r w:rsidRPr="00D603AD">
          <w:rPr>
            <w:rFonts w:ascii="Times New Roman" w:eastAsia="Times New Roman" w:hAnsi="Times New Roman" w:cs="Times New Roman"/>
            <w:sz w:val="24"/>
            <w:szCs w:val="24"/>
            <w:lang w:eastAsia="ru-RU"/>
          </w:rPr>
          <w:t>распоряжения</w:t>
        </w:r>
      </w:hyperlink>
      <w:r w:rsidRPr="00D603AD">
        <w:rPr>
          <w:rFonts w:ascii="Times New Roman" w:eastAsia="Times New Roman" w:hAnsi="Times New Roman" w:cs="Times New Roman"/>
          <w:sz w:val="24"/>
          <w:szCs w:val="24"/>
          <w:lang w:eastAsia="ru-RU"/>
        </w:rPr>
        <w:t xml:space="preserve"> Правительства Российской Федерации от 26.11.2012 2190-р                            «Об утверждении Программы поэтапного совершенствования системы оплаты труда                             в государственных (муниципальных) учреждениях на 2012 – 2018 г.г.»;</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lastRenderedPageBreak/>
        <w:t>-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мнения представительного органа работников или первичной профсоюзной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 В Положении используются следующие основные понятия и определения: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базовый коэффициент – относительная величина, зависящая от уровня образования;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 специфики работы – относительная величина, зависящая от условий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 квалификации – относительная величина, зависящая от уровня квалификации работника;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 коэффициент масштаба управления – относительная величина, зависящая от группы                       по оплате труда, определяемой на основе объемных </w:t>
      </w:r>
      <w:hyperlink w:anchor="P748" w:history="1">
        <w:r w:rsidRPr="00D603AD">
          <w:rPr>
            <w:rFonts w:ascii="Times New Roman" w:eastAsia="Times New Roman" w:hAnsi="Times New Roman" w:cs="Times New Roman"/>
            <w:sz w:val="24"/>
            <w:szCs w:val="24"/>
            <w:lang w:eastAsia="ru-RU"/>
          </w:rPr>
          <w:t>показателей</w:t>
        </w:r>
      </w:hyperlink>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 уровня управления – относительная величина, зависящая от занимаемой должности, отнесенной к 1 - 3 уровню управления;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 территории – относительная величина, зависящая от месторасположения организации (в городской или сельской местности);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 - Мансийского автономного округа – Югры от 03.11.2016 № 431-п                      «О требованиях к системам оплаты труда работников государственных учреждений                      Ханты - Мансийского автономного округа – Югры».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bookmarkStart w:id="3" w:name="sub_1016"/>
      <w:r w:rsidRPr="00D603AD">
        <w:rPr>
          <w:rFonts w:ascii="Times New Roman" w:eastAsia="Times New Roman" w:hAnsi="Times New Roman" w:cs="Times New Roman"/>
          <w:sz w:val="24"/>
          <w:szCs w:val="24"/>
          <w:lang w:eastAsia="ru-RU"/>
        </w:rPr>
        <w:t>6. 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по должностям работников организации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Ханты - Мансийского автономного округа - Югры, содержащими нормы трудового права, иными нормативными правовыми актами, содержащими нормы трудового права, настоящим Положением.</w:t>
      </w:r>
    </w:p>
    <w:bookmarkEnd w:id="3"/>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7. Финансирование расходов, направляемых на оплату труда работников организации, осуществляется в пределах доведенных бюджетных ассигнований, лимитов бюджетных обязательств бюджета города Югорска, формируемого организацией в соответствии с разделом VII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8. Заработная плата работников организации состоит из:</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должностного оклада (тарифной ставки);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компенсационных выплат;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стимулирующих выплат;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иных выплат, предусмотренных настоящим Положением.</w:t>
      </w:r>
    </w:p>
    <w:p w:rsidR="00D603AD" w:rsidRPr="00D603AD" w:rsidRDefault="00D603AD" w:rsidP="00D603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9. Размер минимальной заработной платы работников организации не может быть ниже размера минимальной заработной платы, устанавливаемой в Ханты - Мансийском автономном округе-Югре (далее – автономный округ).</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Если прожиточный минимум трудоспособного населения в автономном округе, выше </w:t>
      </w:r>
      <w:r w:rsidRPr="00D603AD">
        <w:rPr>
          <w:rFonts w:ascii="Times New Roman" w:eastAsia="Times New Roman" w:hAnsi="Times New Roman" w:cs="Times New Roman"/>
          <w:sz w:val="24"/>
          <w:szCs w:val="24"/>
          <w:lang w:eastAsia="ru-RU"/>
        </w:rPr>
        <w:lastRenderedPageBreak/>
        <w:t>минимального размера оплаты труда, доплата работникам производится до величины прожиточного минимума.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либо величины прожиточного минимума трудоспособного населения, доплата производится до соответствующего уровня.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случае отработки менее установленной месячной нормы рабочего времени по уважительным причинам (очередной оплачиваемый отпуск, отпуска, предоставляемые работнику в соответствии со статьями 128, 173, 174, 176, 255, 256, 257, 262, 263 Трудового кодекса Российской Федерации, дни временной нетрудоспособности), доплата минимального размера оплаты труда либо до величины прожиточного минимума трудоспособного населения, установленного в автономном округе, производится пропорционально отработанному времени.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Регулирование размера заработной платы низкооплачиваемой категории работников осуществляется руководителем организации в пределах средств фонда оплаты труда, формируемого организацией в соответствии с разделом VII настоящего Положения.</w:t>
      </w:r>
    </w:p>
    <w:p w:rsidR="00D603AD" w:rsidRPr="00D603AD" w:rsidRDefault="00D603AD" w:rsidP="00D603AD">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 xml:space="preserve">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Принятие организацией положения о системе оплаты труда в соответствие с настоящим Положением не должно повлечь увеличение расходов организации, предусмотренных фондом оплаты труда. </w:t>
      </w:r>
    </w:p>
    <w:p w:rsidR="00D603AD" w:rsidRPr="00D603AD" w:rsidRDefault="00D603AD" w:rsidP="00D603AD">
      <w:pPr>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10.1. Расчетный среднемесячный уровень заработной платы работников организации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D603AD" w:rsidRPr="00D603AD" w:rsidRDefault="00D603AD" w:rsidP="00D603AD">
      <w:pPr>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Расчетный среднемесячный уровень заработной платы работников организации, определяется путем деления установленного объема бюджетных ассигнований на оплату труда работников организации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численность работников организации, в соответствии                     с утвержденным штатным расписанием и деления полученного результата на 12 (количество месяцев в году).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Сопоставление расчетного среднемесячного уровня заработной платы работников организации, осуществляется 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II</w:t>
      </w:r>
      <w:r w:rsidRPr="00D603AD">
        <w:rPr>
          <w:rFonts w:ascii="Times New Roman" w:eastAsia="Times New Roman" w:hAnsi="Times New Roman" w:cs="Times New Roman"/>
          <w:b/>
          <w:sz w:val="24"/>
          <w:szCs w:val="24"/>
          <w:lang w:eastAsia="ru-RU"/>
        </w:rPr>
        <w:t>. Основные условия оплаты труда работников организации</w:t>
      </w:r>
    </w:p>
    <w:p w:rsidR="00D603AD" w:rsidRPr="00D603AD" w:rsidRDefault="00D603AD" w:rsidP="00D603AD">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 - 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12.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w:t>
      </w:r>
      <w:r w:rsidRPr="00D603AD">
        <w:rPr>
          <w:rFonts w:ascii="Times New Roman" w:eastAsia="Times New Roman" w:hAnsi="Times New Roman" w:cs="Times New Roman"/>
          <w:sz w:val="24"/>
          <w:szCs w:val="24"/>
          <w:lang w:eastAsia="ru-RU"/>
        </w:rPr>
        <w:lastRenderedPageBreak/>
        <w:t>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D603AD" w:rsidRPr="00D603AD" w:rsidRDefault="00D603AD" w:rsidP="00D603AD">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1</w:t>
      </w:r>
    </w:p>
    <w:p w:rsidR="00D603AD" w:rsidRPr="00D603AD" w:rsidRDefault="00D603AD" w:rsidP="00D603A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руководителей организации, их заместителей и руководителей структурных подразделений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2928"/>
        <w:gridCol w:w="6290"/>
      </w:tblGrid>
      <w:tr w:rsidR="00D603AD" w:rsidRPr="00D603AD" w:rsidTr="00FB369A">
        <w:tc>
          <w:tcPr>
            <w:tcW w:w="69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п/п</w:t>
            </w:r>
          </w:p>
        </w:tc>
        <w:tc>
          <w:tcPr>
            <w:tcW w:w="295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Категория работников</w:t>
            </w:r>
          </w:p>
        </w:tc>
        <w:tc>
          <w:tcPr>
            <w:tcW w:w="6379"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Наименование должностей</w:t>
            </w:r>
          </w:p>
        </w:tc>
      </w:tr>
      <w:tr w:rsidR="00D603AD" w:rsidRPr="00D603AD" w:rsidTr="00FB369A">
        <w:tc>
          <w:tcPr>
            <w:tcW w:w="69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2956"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Руководители</w:t>
            </w:r>
          </w:p>
        </w:tc>
        <w:tc>
          <w:tcPr>
            <w:tcW w:w="6379" w:type="dxa"/>
            <w:shd w:val="clear" w:color="auto" w:fill="auto"/>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Директор, заведующий</w:t>
            </w:r>
          </w:p>
        </w:tc>
      </w:tr>
      <w:tr w:rsidR="00D603AD" w:rsidRPr="00D603AD" w:rsidTr="00FB369A">
        <w:tc>
          <w:tcPr>
            <w:tcW w:w="69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2956"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Заместители руководителя</w:t>
            </w:r>
          </w:p>
        </w:tc>
        <w:tc>
          <w:tcPr>
            <w:tcW w:w="6379" w:type="dxa"/>
            <w:shd w:val="clear" w:color="auto" w:fill="auto"/>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Заместитель директора, заместитель заведующего, главный бухгалтер</w:t>
            </w:r>
          </w:p>
        </w:tc>
      </w:tr>
      <w:tr w:rsidR="00D603AD" w:rsidRPr="00D603AD" w:rsidTr="00FB369A">
        <w:tc>
          <w:tcPr>
            <w:tcW w:w="69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w:t>
            </w:r>
          </w:p>
        </w:tc>
        <w:tc>
          <w:tcPr>
            <w:tcW w:w="2956"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Руководители структурных подразделений</w:t>
            </w:r>
          </w:p>
        </w:tc>
        <w:tc>
          <w:tcPr>
            <w:tcW w:w="6379" w:type="dxa"/>
            <w:shd w:val="clear" w:color="auto" w:fill="auto"/>
          </w:tcPr>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w:t>
            </w:r>
            <w:r w:rsidRPr="00D603AD">
              <w:rPr>
                <w:rFonts w:ascii="Times New Roman" w:eastAsia="Calibri" w:hAnsi="Times New Roman" w:cs="Times New Roman"/>
                <w:sz w:val="24"/>
                <w:szCs w:val="24"/>
                <w:lang w:eastAsia="ru-RU"/>
              </w:rPr>
              <w:t>программу и образовательную программу дополнительного образования детей;</w:t>
            </w:r>
            <w:r w:rsidRPr="00D603AD">
              <w:rPr>
                <w:rFonts w:ascii="Times New Roman" w:eastAsia="Times New Roman" w:hAnsi="Times New Roman" w:cs="Times New Roman"/>
                <w:sz w:val="24"/>
                <w:szCs w:val="24"/>
                <w:lang w:eastAsia="ru-RU"/>
              </w:rPr>
              <w:t xml:space="preserve"> руководитель контрактной службы; заместитель главного бухгалтера; начальник отдела кадров; заведующий хозяйством; заведующий складом; заведующий производством (шеф - повар)</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13. Схема расчета должностного оклада специалиста организации устанавливается: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специалистов, указан в таблице 2 настоящего Положения.</w:t>
      </w:r>
    </w:p>
    <w:p w:rsidR="00D603AD" w:rsidRPr="00D603AD" w:rsidRDefault="00D603AD" w:rsidP="00D603AD">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2</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специалистов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7229"/>
      </w:tblGrid>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п/п</w:t>
            </w:r>
          </w:p>
        </w:tc>
        <w:tc>
          <w:tcPr>
            <w:tcW w:w="1985"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Категория работников</w:t>
            </w:r>
          </w:p>
        </w:tc>
        <w:tc>
          <w:tcPr>
            <w:tcW w:w="7229"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Наименование должностей</w:t>
            </w:r>
          </w:p>
        </w:tc>
      </w:tr>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1985"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Педагогические работники</w:t>
            </w:r>
          </w:p>
        </w:tc>
        <w:tc>
          <w:tcPr>
            <w:tcW w:w="7229" w:type="dxa"/>
            <w:shd w:val="clear" w:color="auto" w:fill="auto"/>
            <w:vAlign w:val="center"/>
          </w:tcPr>
          <w:p w:rsidR="00D603AD" w:rsidRPr="00D603AD" w:rsidRDefault="00D603AD" w:rsidP="00D603AD">
            <w:pPr>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Инструктор по труду, инструктор по физической культуре, музыкальный руководитель; педагог дополнительного образования; педагог - организатор; социальный педагог; воспитатель; мастер производственного обучения; методист; педагог-психолог; педагог-библиотекарь; преподаватель - организатор основ безопасности жизнедеятельности; руководитель физического воспитания; старший воспитатель; старший методист; тьютор; учитель;                  учитель - дефектолог; учитель-логопед; преподаватель</w:t>
            </w:r>
          </w:p>
        </w:tc>
      </w:tr>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1985"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Специалисты, деятельность которых не связана с образовательной деятельностью</w:t>
            </w:r>
          </w:p>
        </w:tc>
        <w:tc>
          <w:tcPr>
            <w:tcW w:w="7229"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Специалист по учебно-методической работе; бухгалтер, диспетчер, документовед, инженер, инженер - программист (программист), инженер – электроник (электроник), инспектор по кадрам, специалист по кадрам, техник,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w:t>
            </w:r>
            <w:r w:rsidRPr="00D603AD">
              <w:rPr>
                <w:rFonts w:ascii="Times New Roman" w:eastAsia="Times New Roman" w:hAnsi="Times New Roman" w:cs="Times New Roman"/>
                <w:sz w:val="24"/>
                <w:szCs w:val="24"/>
                <w:lang w:eastAsia="ru-RU"/>
              </w:rPr>
              <w:lastRenderedPageBreak/>
              <w:t>лаборант; библиотекарь; инженер - энергетик (энергетик)</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14.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служащих организации указан в таблице 3 настоящего Положения.</w:t>
      </w:r>
    </w:p>
    <w:p w:rsidR="00D603AD" w:rsidRPr="00D603AD" w:rsidRDefault="00D603AD" w:rsidP="00D603AD">
      <w:pPr>
        <w:widowControl w:val="0"/>
        <w:autoSpaceDE w:val="0"/>
        <w:autoSpaceDN w:val="0"/>
        <w:spacing w:after="0" w:line="240" w:lineRule="auto"/>
        <w:ind w:left="567"/>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3</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служащих организации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6946"/>
      </w:tblGrid>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п/п</w:t>
            </w:r>
          </w:p>
        </w:tc>
        <w:tc>
          <w:tcPr>
            <w:tcW w:w="2268"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Категория работников</w:t>
            </w:r>
          </w:p>
        </w:tc>
        <w:tc>
          <w:tcPr>
            <w:tcW w:w="6946"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Наименование должностей</w:t>
            </w:r>
          </w:p>
        </w:tc>
      </w:tr>
      <w:tr w:rsidR="00D603AD" w:rsidRPr="00D603AD" w:rsidTr="00FB369A">
        <w:tc>
          <w:tcPr>
            <w:tcW w:w="817"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2268" w:type="dxa"/>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Служащие</w:t>
            </w:r>
          </w:p>
        </w:tc>
        <w:tc>
          <w:tcPr>
            <w:tcW w:w="6946" w:type="dxa"/>
            <w:shd w:val="clear" w:color="auto" w:fill="auto"/>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Помощник воспитателя, младший воспитатель, диспетчер образовательного учреждения, делопроизводитель, калькулятор, кассир, комендант, машинистка, секретарь-машинистка, секретарь руководителя.</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2500 рублей – за ученую степень доктора наук, 1600 рублей – за ученую степень кандидата наук.</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16.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вышеуказанной выплаты составляет 50 рублей.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17. Размер базового коэффициента указан в </w:t>
      </w:r>
      <w:hyperlink w:anchor="P116" w:history="1">
        <w:r w:rsidRPr="00D603AD">
          <w:rPr>
            <w:rFonts w:ascii="Times New Roman" w:eastAsia="Times New Roman" w:hAnsi="Times New Roman" w:cs="Times New Roman"/>
            <w:sz w:val="24"/>
            <w:szCs w:val="24"/>
            <w:lang w:eastAsia="ru-RU"/>
          </w:rPr>
          <w:t>таблице 4</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4" w:name="P116"/>
      <w:bookmarkEnd w:id="4"/>
      <w:r w:rsidRPr="00D603AD">
        <w:rPr>
          <w:rFonts w:ascii="Times New Roman" w:eastAsia="Times New Roman" w:hAnsi="Times New Roman" w:cs="Times New Roman"/>
          <w:sz w:val="24"/>
          <w:szCs w:val="24"/>
          <w:lang w:eastAsia="ru-RU"/>
        </w:rPr>
        <w:t>Таблица 4</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базового коэффициента</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1843"/>
      </w:tblGrid>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образования руководителя, специалиста, служащего</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базового коэффициента</w:t>
            </w:r>
          </w:p>
        </w:tc>
      </w:tr>
      <w:tr w:rsidR="00D603AD" w:rsidRPr="00D603AD" w:rsidTr="00FB369A">
        <w:trPr>
          <w:trHeight w:val="675"/>
        </w:trPr>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1,50</w:t>
            </w:r>
          </w:p>
        </w:tc>
      </w:tr>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Высшее образование, подтверждаемое присвоением лицу, успешно прошедшему итоговую аттестацию, квалификации (степени) «бакалавр»</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1,40</w:t>
            </w:r>
          </w:p>
        </w:tc>
      </w:tr>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Среднее профессиональное образование по программам подготовки специалистов среднего звена, неполное высшее образование</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1,30</w:t>
            </w:r>
          </w:p>
        </w:tc>
      </w:tr>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Среднее профессиональное образование по программам подготовки квалифицированных рабочих (служащих)</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1,20</w:t>
            </w:r>
          </w:p>
        </w:tc>
      </w:tr>
      <w:tr w:rsidR="00D603AD" w:rsidRPr="00D603AD" w:rsidTr="00FB369A">
        <w:tc>
          <w:tcPr>
            <w:tcW w:w="8142" w:type="dxa"/>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Среднее общее образование</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1,18</w:t>
            </w:r>
          </w:p>
        </w:tc>
      </w:tr>
    </w:tbl>
    <w:p w:rsidR="00D603AD" w:rsidRPr="00D603AD" w:rsidRDefault="00D603AD" w:rsidP="00D603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3" w:history="1">
        <w:r w:rsidRPr="00D603AD">
          <w:rPr>
            <w:rFonts w:ascii="Times New Roman" w:eastAsia="Times New Roman" w:hAnsi="Times New Roman" w:cs="Times New Roman"/>
            <w:sz w:val="24"/>
            <w:szCs w:val="24"/>
            <w:lang w:eastAsia="ru-RU"/>
          </w:rPr>
          <w:t>приказом</w:t>
        </w:r>
      </w:hyperlink>
      <w:r w:rsidRPr="00D603AD">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Министерства труда и социального развития Российской Федерации от 21.08.1998 № 37 «</w:t>
      </w:r>
      <w:r w:rsidRPr="00D603AD">
        <w:rPr>
          <w:rFonts w:ascii="Times New Roman" w:eastAsia="Calibri" w:hAnsi="Times New Roman" w:cs="Times New Roman"/>
          <w:sz w:val="24"/>
          <w:szCs w:val="24"/>
          <w:lang w:eastAsia="ru-RU"/>
        </w:rPr>
        <w:t>Об утверждении Квалификационного справочника должностей руководителей, специалистов и других служащих».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18. Коэффициент территории устанавливается в организациях, расположенных                            в городской местности, - 1,0.</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19.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141" w:history="1">
        <w:r w:rsidRPr="00D603AD">
          <w:rPr>
            <w:rFonts w:ascii="Times New Roman" w:eastAsia="Times New Roman" w:hAnsi="Times New Roman" w:cs="Times New Roman"/>
            <w:sz w:val="24"/>
            <w:szCs w:val="24"/>
            <w:lang w:eastAsia="ru-RU"/>
          </w:rPr>
          <w:t>таблице 5</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5</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141"/>
      <w:bookmarkEnd w:id="5"/>
      <w:r w:rsidRPr="00D603AD">
        <w:rPr>
          <w:rFonts w:ascii="Times New Roman" w:eastAsia="Times New Roman" w:hAnsi="Times New Roman" w:cs="Times New Roman"/>
          <w:sz w:val="24"/>
          <w:szCs w:val="24"/>
          <w:lang w:eastAsia="ru-RU"/>
        </w:rPr>
        <w:t>Размер коэффициента специфики работы для руководителей, их заместителей, руководителей структурных подразделений организации, специалистов, служащих</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371"/>
        <w:gridCol w:w="1843"/>
      </w:tblGrid>
      <w:tr w:rsidR="00D603AD" w:rsidRPr="00D603AD" w:rsidTr="00FB369A">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п/п</w:t>
            </w:r>
          </w:p>
        </w:tc>
        <w:tc>
          <w:tcPr>
            <w:tcW w:w="7371"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Типы образовательных организаций, виды деятельности и категории работников</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специфики работы</w:t>
            </w:r>
          </w:p>
        </w:tc>
      </w:tr>
      <w:tr w:rsidR="00D603AD" w:rsidRPr="00D603AD" w:rsidTr="00FB369A">
        <w:trPr>
          <w:trHeight w:val="23"/>
        </w:trPr>
        <w:tc>
          <w:tcPr>
            <w:tcW w:w="10127" w:type="dxa"/>
            <w:gridSpan w:val="3"/>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 Дошкольные образовательные организации</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помощника воспитателя, младшего воспитателя в разновозрастной группе</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456"/>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1.2</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за руководство методическими объединениями (коэффициент применяется на ставку работы)</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332"/>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1.3</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84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со следующими видами деятельности (коэффициент применяется по факту нагрузки):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работа в разновозрастной группе;</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работа с детьми раннего возраста (с 2 месяцев до 3 лет).</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1.6</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1.7</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заведованием логопедическим пунктом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1.8</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в дошкольной образовательной организации</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1.9</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0,30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1.10</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0,50</w:t>
            </w:r>
          </w:p>
        </w:tc>
      </w:tr>
      <w:tr w:rsidR="00D603AD" w:rsidRPr="00D603AD" w:rsidTr="00FB369A">
        <w:trPr>
          <w:trHeight w:val="178"/>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 дошкольной образовательной организации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8"/>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1.11.1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Специалистов (кроме педагогических работников)</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rPr>
          <w:trHeight w:val="28"/>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1.11.2</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Служащих</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0,18</w:t>
            </w:r>
          </w:p>
        </w:tc>
      </w:tr>
      <w:tr w:rsidR="00D603AD" w:rsidRPr="00D603AD" w:rsidTr="00FB369A">
        <w:trPr>
          <w:trHeight w:val="146"/>
        </w:trPr>
        <w:tc>
          <w:tcPr>
            <w:tcW w:w="10127" w:type="dxa"/>
            <w:gridSpan w:val="3"/>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 Общеобразовательные организации</w:t>
            </w:r>
          </w:p>
        </w:tc>
      </w:tr>
      <w:tr w:rsidR="00D603AD" w:rsidRPr="00D603AD" w:rsidTr="00FB369A">
        <w:trPr>
          <w:trHeight w:val="248"/>
        </w:trPr>
        <w:tc>
          <w:tcPr>
            <w:tcW w:w="91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со следующими видами деятельности: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234"/>
        </w:trPr>
        <w:tc>
          <w:tcPr>
            <w:tcW w:w="91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проверка тетрадей для учителей, физики, химии, географии, истории, черчения, биологии (коэффициент применяется по факту нагрузки);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20"/>
        </w:trPr>
        <w:tc>
          <w:tcPr>
            <w:tcW w:w="913" w:type="dxa"/>
            <w:vMerge/>
            <w:tcBorders>
              <w:bottom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71" w:type="dxa"/>
            <w:tcBorders>
              <w:bottom w:val="single" w:sz="4" w:space="0" w:color="auto"/>
            </w:tcBorders>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проверка тетрадей для учителей начальных классов, литературы, русского языка, математики, иностранных языков (коэффициент применяется по факту нагрузки)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помощника воспитателя, младшего воспитателя в разновозрастной дошкольной группе</w:t>
            </w:r>
          </w:p>
        </w:tc>
        <w:tc>
          <w:tcPr>
            <w:tcW w:w="184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2.3</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Заведующим библиотекой и библиотечным работникам за работу с учебным фондом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2.4</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библиотечных работников, связанная с проведением библиотечных уроков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2.5</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Заведование учебным, методическим кабинетом, секцией, лабораторией, опытным участком (коэффициент применяется на ставку работы);</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Руководство методическими объединениями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2.6</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181"/>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2.7</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педагогических работников, связанная с:</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rPr>
          <w:trHeight w:val="1515"/>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2.8</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2.9</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(коэффициент применяется по факту нагрузки):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с обучающимися с ограниченными возможностями здоровья, по программам индивидуального обучения на основании медицинского заключения;</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 разновозрастной дошкольной группе;</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 дошкольной группе с детьми раннего возраста (0 - 3 лет).</w:t>
            </w:r>
          </w:p>
        </w:tc>
        <w:tc>
          <w:tcPr>
            <w:tcW w:w="184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2.10</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2.11</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909"/>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2.12</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2.13</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2.14</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843" w:type="dxa"/>
            <w:vMerge w:val="restart"/>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2.15</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2.16</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843" w:type="dxa"/>
            <w:vMerge/>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2.17</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0,50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2.18</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педагогического работника, связанная с заведованием логопедическим пунктом (коэффициент применяется на ставку работы)</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2.19</w:t>
            </w:r>
          </w:p>
        </w:tc>
        <w:tc>
          <w:tcPr>
            <w:tcW w:w="7371"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воспитателя в дошкольных отделениях (группах)</w:t>
            </w:r>
          </w:p>
        </w:tc>
        <w:tc>
          <w:tcPr>
            <w:tcW w:w="1843"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23"/>
        </w:trPr>
        <w:tc>
          <w:tcPr>
            <w:tcW w:w="91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2.20</w:t>
            </w:r>
          </w:p>
        </w:tc>
        <w:tc>
          <w:tcPr>
            <w:tcW w:w="7371"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Работа в общеобразовательной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rPr>
          <w:trHeight w:val="23"/>
        </w:trPr>
        <w:tc>
          <w:tcPr>
            <w:tcW w:w="91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2.20.1</w:t>
            </w:r>
          </w:p>
        </w:tc>
        <w:tc>
          <w:tcPr>
            <w:tcW w:w="7371"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Специалистов (кроме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rPr>
          <w:trHeight w:val="23"/>
        </w:trPr>
        <w:tc>
          <w:tcPr>
            <w:tcW w:w="91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2.20.2</w:t>
            </w:r>
          </w:p>
        </w:tc>
        <w:tc>
          <w:tcPr>
            <w:tcW w:w="7371"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Служащих</w:t>
            </w:r>
          </w:p>
        </w:tc>
        <w:tc>
          <w:tcPr>
            <w:tcW w:w="1843"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0,18</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20. Коэффициент квалификации состоит из:</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коэффициента за квалификационную категорию;</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коэффициента за ученое звание;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Коэффициент квалификации для работников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20.1. Коэффициент за квалификационную категорию устанавливается специалистам организации в размере, приведенном в таблице 6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6</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328"/>
      <w:bookmarkEnd w:id="6"/>
      <w:r w:rsidRPr="00D603AD">
        <w:rPr>
          <w:rFonts w:ascii="Times New Roman" w:eastAsia="Times New Roman" w:hAnsi="Times New Roman" w:cs="Times New Roman"/>
          <w:sz w:val="24"/>
          <w:szCs w:val="24"/>
          <w:lang w:eastAsia="ru-RU"/>
        </w:rPr>
        <w:t>Размер коэффициента за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4253"/>
      </w:tblGrid>
      <w:tr w:rsidR="00D603AD" w:rsidRPr="00D603AD" w:rsidTr="00FB369A">
        <w:trPr>
          <w:trHeight w:val="243"/>
        </w:trPr>
        <w:tc>
          <w:tcPr>
            <w:tcW w:w="5732" w:type="dxa"/>
            <w:tcBorders>
              <w:top w:val="single" w:sz="4" w:space="0" w:color="auto"/>
              <w:bottom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Основание для установления коэффициента</w:t>
            </w:r>
          </w:p>
        </w:tc>
        <w:tc>
          <w:tcPr>
            <w:tcW w:w="4253" w:type="dxa"/>
            <w:tcBorders>
              <w:top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за квалификационную категорию</w:t>
            </w:r>
          </w:p>
        </w:tc>
      </w:tr>
      <w:tr w:rsidR="00D603AD" w:rsidRPr="00D603AD" w:rsidTr="00FB369A">
        <w:tc>
          <w:tcPr>
            <w:tcW w:w="5732" w:type="dxa"/>
            <w:tcBorders>
              <w:top w:val="single" w:sz="4" w:space="0" w:color="auto"/>
              <w:bottom w:val="nil"/>
            </w:tcBorders>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Квалификационная категория:</w:t>
            </w:r>
          </w:p>
        </w:tc>
        <w:tc>
          <w:tcPr>
            <w:tcW w:w="4253" w:type="dxa"/>
            <w:tcBorders>
              <w:top w:val="single" w:sz="4" w:space="0" w:color="auto"/>
              <w:bottom w:val="nil"/>
            </w:tcBorders>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blPrEx>
          <w:tblBorders>
            <w:insideH w:val="none" w:sz="0" w:space="0" w:color="auto"/>
          </w:tblBorders>
        </w:tblPrEx>
        <w:tc>
          <w:tcPr>
            <w:tcW w:w="5732" w:type="dxa"/>
            <w:tcBorders>
              <w:top w:val="nil"/>
              <w:bottom w:val="nil"/>
            </w:tcBorders>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высшая категория</w:t>
            </w:r>
          </w:p>
        </w:tc>
        <w:tc>
          <w:tcPr>
            <w:tcW w:w="4253" w:type="dxa"/>
            <w:tcBorders>
              <w:top w:val="nil"/>
              <w:bottom w:val="nil"/>
            </w:tcBorders>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Times New Roman" w:hAnsi="Times New Roman" w:cs="Times New Roman"/>
                <w:sz w:val="24"/>
                <w:szCs w:val="24"/>
                <w:lang w:eastAsia="ru-RU"/>
              </w:rPr>
              <w:t>0,20</w:t>
            </w:r>
          </w:p>
        </w:tc>
      </w:tr>
      <w:tr w:rsidR="00D603AD" w:rsidRPr="00D603AD" w:rsidTr="00FB369A">
        <w:tblPrEx>
          <w:tblBorders>
            <w:insideH w:val="none" w:sz="0" w:space="0" w:color="auto"/>
          </w:tblBorders>
        </w:tblPrEx>
        <w:tc>
          <w:tcPr>
            <w:tcW w:w="5732" w:type="dxa"/>
            <w:tcBorders>
              <w:top w:val="nil"/>
              <w:bottom w:val="nil"/>
            </w:tcBorders>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первая категория</w:t>
            </w:r>
          </w:p>
        </w:tc>
        <w:tc>
          <w:tcPr>
            <w:tcW w:w="4253" w:type="dxa"/>
            <w:tcBorders>
              <w:top w:val="nil"/>
              <w:bottom w:val="nil"/>
            </w:tcBorders>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Times New Roman" w:hAnsi="Times New Roman" w:cs="Times New Roman"/>
                <w:sz w:val="24"/>
                <w:szCs w:val="24"/>
                <w:lang w:eastAsia="ru-RU"/>
              </w:rPr>
              <w:t>0,10</w:t>
            </w:r>
          </w:p>
        </w:tc>
      </w:tr>
      <w:tr w:rsidR="00D603AD" w:rsidRPr="00D603AD" w:rsidTr="00FB369A">
        <w:tc>
          <w:tcPr>
            <w:tcW w:w="5732" w:type="dxa"/>
            <w:tcBorders>
              <w:top w:val="nil"/>
              <w:bottom w:val="single" w:sz="4" w:space="0" w:color="auto"/>
            </w:tcBorders>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вторая категория</w:t>
            </w:r>
          </w:p>
        </w:tc>
        <w:tc>
          <w:tcPr>
            <w:tcW w:w="4253" w:type="dxa"/>
            <w:tcBorders>
              <w:top w:val="nil"/>
              <w:bottom w:val="single" w:sz="4" w:space="0" w:color="auto"/>
            </w:tcBorders>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Times New Roman" w:hAnsi="Times New Roman" w:cs="Times New Roman"/>
                <w:sz w:val="24"/>
                <w:szCs w:val="24"/>
                <w:lang w:eastAsia="ru-RU"/>
              </w:rPr>
              <w:t>0,05</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20.2.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 - 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 - Мансийского автономного округа – Югры,                                   за ведомственные знаки отличия в труде Российской Федерации, СССР, РСФСР указан                          в </w:t>
      </w:r>
      <w:hyperlink w:anchor="P407" w:history="1">
        <w:r w:rsidRPr="00D603AD">
          <w:rPr>
            <w:rFonts w:ascii="Times New Roman" w:eastAsia="Times New Roman" w:hAnsi="Times New Roman" w:cs="Times New Roman"/>
            <w:sz w:val="24"/>
            <w:szCs w:val="24"/>
            <w:lang w:eastAsia="ru-RU"/>
          </w:rPr>
          <w:t>таблице 7</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7</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407"/>
      <w:bookmarkEnd w:id="7"/>
      <w:r w:rsidRPr="00D603AD">
        <w:rPr>
          <w:rFonts w:ascii="Times New Roman" w:eastAsia="Times New Roman" w:hAnsi="Times New Roman" w:cs="Times New Roman"/>
          <w:sz w:val="24"/>
          <w:szCs w:val="24"/>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3827"/>
      </w:tblGrid>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Основание для установления коэффициента</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w:t>
            </w:r>
            <w:r w:rsidRPr="00D603AD">
              <w:rPr>
                <w:rFonts w:ascii="Times New Roman" w:eastAsia="Times New Roman" w:hAnsi="Times New Roman" w:cs="Times New Roman"/>
                <w:sz w:val="24"/>
                <w:szCs w:val="24"/>
                <w:lang w:eastAsia="ru-RU"/>
              </w:rPr>
              <w:lastRenderedPageBreak/>
              <w:t>Мансийского автономного округа – Югры, за ведомственные знаки отличия в труде Российской Федерации, СССР, РСФСР</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ордена, медали, знаки</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спортивные звания: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«Народный...»</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«Заслуженный...»</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«Мастер спорта...»</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«Мастер спорта международного класса...»</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«Гроссмейстер...»</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«Лауреат премий Президента Российской Федерации», «Лауреат премий Правительства Российской Федерации»</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rPr>
          <w:trHeight w:val="393"/>
        </w:trPr>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грамоты органа исполнительной власти Российской Федерации, СССР, РСФСР, осуществляющего управление в сфере образования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сфере культуры почетные звания: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«Лауреат международных конкурсов, выставок»</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«Лауреат всероссийских конкурсов, выставок, поддерживаемых Министерством культуры Российской Федерации»</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Награды и почетные звания Ханты - Мансийского автономного округа – Югры, в том числе:</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медали, знаки</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звания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грамоты Губернатора Ханты - Мансийского автономного округа – Югры</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почетные грамоты Думы Ханты - Мансийского автономного округа – Югры</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благодарности Губернатора Ханты - Мансийского автономного округа – Югры</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Ведомственные знаки отличия в труде Российской Федерации, СССР, РСФСР, в том числе:</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Золотой знак отличия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медаль К.Д. Ушинского, медаль Л.С. Выготского</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lastRenderedPageBreak/>
              <w:t>нагрудный знак «Почетный работник...», почетное звание «Почетный работник...», «Отличник народного просвещения»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0,15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иные нагрудные знаки, за исключением знака «За милосердие и благотворительность»</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r w:rsidR="00D603AD" w:rsidRPr="00D603AD" w:rsidTr="00FB369A">
        <w:tc>
          <w:tcPr>
            <w:tcW w:w="6158" w:type="dxa"/>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82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 - 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D603AD" w:rsidRPr="00D603AD" w:rsidRDefault="00D603AD" w:rsidP="00D603AD">
      <w:pPr>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21. Коэффициент масштаба управления устанавливается на основе отнесения организации к группе по оплате труда.</w:t>
      </w:r>
    </w:p>
    <w:p w:rsidR="00D603AD" w:rsidRPr="00D603AD" w:rsidRDefault="00D603AD" w:rsidP="00D603AD">
      <w:pPr>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Объемные показатели и порядок отнесения муниципальных образовательных организаций города Югорска к группам по оплате труда для установления масштаба управления руководителям, заместителям руководителя, руководителям структурных подразделений утверждаются приказом главного распорядителя бюджетных средств.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Размер коэффициента масштаба управления приведен в </w:t>
      </w:r>
      <w:hyperlink w:anchor="P473" w:history="1">
        <w:r w:rsidRPr="00D603AD">
          <w:rPr>
            <w:rFonts w:ascii="Times New Roman" w:eastAsia="Times New Roman" w:hAnsi="Times New Roman" w:cs="Times New Roman"/>
            <w:sz w:val="24"/>
            <w:szCs w:val="24"/>
            <w:lang w:eastAsia="ru-RU"/>
          </w:rPr>
          <w:t>таблице 8</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8</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473"/>
      <w:bookmarkEnd w:id="8"/>
      <w:r w:rsidRPr="00D603AD">
        <w:rPr>
          <w:rFonts w:ascii="Times New Roman" w:eastAsia="Times New Roman" w:hAnsi="Times New Roman" w:cs="Times New Roman"/>
          <w:sz w:val="24"/>
          <w:szCs w:val="24"/>
          <w:lang w:eastAsia="ru-RU"/>
        </w:rPr>
        <w:t>Размер коэффициента масштаба управления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088"/>
      </w:tblGrid>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по оплате труда</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масштаба управления</w:t>
            </w:r>
          </w:p>
        </w:tc>
      </w:tr>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1</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0,30</w:t>
            </w:r>
          </w:p>
        </w:tc>
      </w:tr>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2</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0,20</w:t>
            </w:r>
          </w:p>
        </w:tc>
      </w:tr>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3</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0,10</w:t>
            </w:r>
          </w:p>
        </w:tc>
      </w:tr>
      <w:tr w:rsidR="00D603AD" w:rsidRPr="00D603AD" w:rsidTr="00FB369A">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Группа 4</w:t>
            </w:r>
          </w:p>
        </w:tc>
        <w:tc>
          <w:tcPr>
            <w:tcW w:w="7088" w:type="dxa"/>
            <w:tcBorders>
              <w:top w:val="single" w:sz="4" w:space="0" w:color="auto"/>
              <w:left w:val="single" w:sz="4" w:space="0" w:color="auto"/>
              <w:bottom w:val="single" w:sz="4" w:space="0" w:color="auto"/>
              <w:right w:val="single" w:sz="4" w:space="0" w:color="auto"/>
            </w:tcBorders>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0,05</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22.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главного распорядителя бюджетных средств.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Размер коэффициента уровня управления установлен в </w:t>
      </w:r>
      <w:hyperlink w:anchor="P510" w:history="1">
        <w:r w:rsidRPr="00D603AD">
          <w:rPr>
            <w:rFonts w:ascii="Times New Roman" w:eastAsia="Times New Roman" w:hAnsi="Times New Roman" w:cs="Times New Roman"/>
            <w:sz w:val="24"/>
            <w:szCs w:val="24"/>
            <w:lang w:eastAsia="ru-RU"/>
          </w:rPr>
          <w:t>таблице 9</w:t>
        </w:r>
      </w:hyperlink>
      <w:r w:rsidRPr="00D603AD">
        <w:rPr>
          <w:rFonts w:ascii="Times New Roman" w:eastAsia="Times New Roman" w:hAnsi="Times New Roman" w:cs="Times New Roman"/>
          <w:sz w:val="24"/>
          <w:szCs w:val="24"/>
          <w:lang w:eastAsia="ru-RU"/>
        </w:rPr>
        <w:t xml:space="preserve">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9</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510"/>
      <w:bookmarkEnd w:id="9"/>
      <w:r w:rsidRPr="00D603AD">
        <w:rPr>
          <w:rFonts w:ascii="Times New Roman" w:eastAsia="Times New Roman" w:hAnsi="Times New Roman" w:cs="Times New Roman"/>
          <w:sz w:val="24"/>
          <w:szCs w:val="24"/>
          <w:lang w:eastAsia="ru-RU"/>
        </w:rPr>
        <w:t>Размер коэффициента уровня управления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57" w:type="dxa"/>
        <w:tblInd w:w="62" w:type="dxa"/>
        <w:tblCellMar>
          <w:top w:w="75" w:type="dxa"/>
          <w:left w:w="0" w:type="dxa"/>
          <w:bottom w:w="75" w:type="dxa"/>
          <w:right w:w="0" w:type="dxa"/>
        </w:tblCellMar>
        <w:tblLook w:val="0000" w:firstRow="0" w:lastRow="0" w:firstColumn="0" w:lastColumn="0" w:noHBand="0" w:noVBand="0"/>
      </w:tblPr>
      <w:tblGrid>
        <w:gridCol w:w="2835"/>
        <w:gridCol w:w="7122"/>
      </w:tblGrid>
      <w:tr w:rsidR="00D603AD" w:rsidRPr="00D603AD" w:rsidTr="00FB369A">
        <w:trPr>
          <w:trHeight w:val="535"/>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управления</w:t>
            </w:r>
          </w:p>
        </w:tc>
        <w:tc>
          <w:tcPr>
            <w:tcW w:w="712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коэффициента уровня управления</w:t>
            </w:r>
          </w:p>
        </w:tc>
      </w:tr>
      <w:tr w:rsidR="00D603AD" w:rsidRPr="00D603AD" w:rsidTr="00FB369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1</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1,05</w:t>
            </w:r>
          </w:p>
        </w:tc>
      </w:tr>
      <w:tr w:rsidR="00D603AD" w:rsidRPr="00D603AD" w:rsidTr="00FB369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2</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0,85</w:t>
            </w:r>
          </w:p>
        </w:tc>
      </w:tr>
      <w:tr w:rsidR="00D603AD" w:rsidRPr="00D603AD" w:rsidTr="00FB369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Уровень 3</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3AD" w:rsidRPr="00D603AD" w:rsidRDefault="00D603AD" w:rsidP="00D603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0,35</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23.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приведенной в </w:t>
      </w:r>
      <w:hyperlink w:anchor="P540" w:history="1">
        <w:r w:rsidRPr="00D603AD">
          <w:rPr>
            <w:rFonts w:ascii="Times New Roman" w:eastAsia="Times New Roman" w:hAnsi="Times New Roman" w:cs="Times New Roman"/>
            <w:sz w:val="24"/>
            <w:szCs w:val="24"/>
            <w:lang w:eastAsia="ru-RU"/>
          </w:rPr>
          <w:t>таблице 10 настоящего Положения</w:t>
        </w:r>
      </w:hyperlink>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10</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540"/>
      <w:bookmarkEnd w:id="10"/>
      <w:r w:rsidRPr="00D603AD">
        <w:rPr>
          <w:rFonts w:ascii="Times New Roman" w:eastAsia="Times New Roman" w:hAnsi="Times New Roman" w:cs="Times New Roman"/>
          <w:sz w:val="24"/>
          <w:szCs w:val="24"/>
          <w:lang w:eastAsia="ru-RU"/>
        </w:rPr>
        <w:t>Тарифная сетка по оплате труда рабочих организации</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740"/>
        <w:gridCol w:w="751"/>
        <w:gridCol w:w="751"/>
        <w:gridCol w:w="751"/>
        <w:gridCol w:w="692"/>
        <w:gridCol w:w="678"/>
        <w:gridCol w:w="720"/>
        <w:gridCol w:w="730"/>
        <w:gridCol w:w="720"/>
        <w:gridCol w:w="667"/>
      </w:tblGrid>
      <w:tr w:rsidR="00D603AD" w:rsidRPr="00D603AD" w:rsidTr="00FB369A">
        <w:tc>
          <w:tcPr>
            <w:tcW w:w="2756"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Разряды оплаты труда</w:t>
            </w:r>
          </w:p>
        </w:tc>
        <w:tc>
          <w:tcPr>
            <w:tcW w:w="740"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751"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751"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w:t>
            </w:r>
          </w:p>
        </w:tc>
        <w:tc>
          <w:tcPr>
            <w:tcW w:w="751"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w:t>
            </w:r>
          </w:p>
        </w:tc>
        <w:tc>
          <w:tcPr>
            <w:tcW w:w="692"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w:t>
            </w:r>
          </w:p>
        </w:tc>
        <w:tc>
          <w:tcPr>
            <w:tcW w:w="678"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6</w:t>
            </w:r>
          </w:p>
        </w:tc>
        <w:tc>
          <w:tcPr>
            <w:tcW w:w="720"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7</w:t>
            </w:r>
          </w:p>
        </w:tc>
        <w:tc>
          <w:tcPr>
            <w:tcW w:w="730"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8</w:t>
            </w:r>
          </w:p>
        </w:tc>
        <w:tc>
          <w:tcPr>
            <w:tcW w:w="720"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9</w:t>
            </w:r>
          </w:p>
        </w:tc>
        <w:tc>
          <w:tcPr>
            <w:tcW w:w="667"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10</w:t>
            </w:r>
          </w:p>
        </w:tc>
      </w:tr>
      <w:tr w:rsidR="00D603AD" w:rsidRPr="00D603AD" w:rsidTr="00FB369A">
        <w:tc>
          <w:tcPr>
            <w:tcW w:w="2756" w:type="dxa"/>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Тарифный коэффициент</w:t>
            </w:r>
          </w:p>
        </w:tc>
        <w:tc>
          <w:tcPr>
            <w:tcW w:w="740"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1,440</w:t>
            </w:r>
          </w:p>
        </w:tc>
        <w:tc>
          <w:tcPr>
            <w:tcW w:w="751"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1,446</w:t>
            </w:r>
          </w:p>
        </w:tc>
        <w:tc>
          <w:tcPr>
            <w:tcW w:w="751"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1,452</w:t>
            </w:r>
          </w:p>
        </w:tc>
        <w:tc>
          <w:tcPr>
            <w:tcW w:w="751"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1,461</w:t>
            </w:r>
          </w:p>
        </w:tc>
        <w:tc>
          <w:tcPr>
            <w:tcW w:w="692"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1,467</w:t>
            </w:r>
          </w:p>
        </w:tc>
        <w:tc>
          <w:tcPr>
            <w:tcW w:w="678"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1,476</w:t>
            </w:r>
          </w:p>
        </w:tc>
        <w:tc>
          <w:tcPr>
            <w:tcW w:w="720"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1,482</w:t>
            </w:r>
          </w:p>
        </w:tc>
        <w:tc>
          <w:tcPr>
            <w:tcW w:w="730"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1,491</w:t>
            </w:r>
          </w:p>
        </w:tc>
        <w:tc>
          <w:tcPr>
            <w:tcW w:w="720"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1,500</w:t>
            </w:r>
          </w:p>
        </w:tc>
        <w:tc>
          <w:tcPr>
            <w:tcW w:w="667" w:type="dxa"/>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1,506</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24. Профессии рабочих организации тарифицируются в соответствии с постановлением Министерства труда и социального развития Российской Федерации от 10.11.1992 № 31                      «Об утверждении тарифно - квалификационных характеристик по общеотраслевым профессиям рабочих».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25. При установлении, увеличении (индексации) размеров должностных окладов (тарифных ставок) работников производить их округление до целого рубля в сторону увеличения.</w:t>
      </w:r>
    </w:p>
    <w:p w:rsidR="00D603AD" w:rsidRPr="00D603AD" w:rsidRDefault="00D603AD" w:rsidP="00D603AD">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 xml:space="preserve">26. Почасовая оплата труда.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Почасовая оплата труда педагогических работников организации применяется: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III</w:t>
      </w:r>
      <w:r w:rsidRPr="00D603AD">
        <w:rPr>
          <w:rFonts w:ascii="Times New Roman" w:eastAsia="Times New Roman" w:hAnsi="Times New Roman" w:cs="Times New Roman"/>
          <w:b/>
          <w:sz w:val="24"/>
          <w:szCs w:val="24"/>
          <w:lang w:eastAsia="ru-RU"/>
        </w:rPr>
        <w:t>. Порядок и условия осуществления компенсационных выплат</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27. К компенсационным выплатам относятся: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выплаты работникам, занятых на работах с вредными и (или) опасными условиями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выплаты за работу в местностях с особыми климатическими условиями;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расширении зон обслуживания,</w:t>
      </w:r>
      <w:r w:rsidRPr="00D603AD">
        <w:rPr>
          <w:rFonts w:ascii="Times New Roman" w:eastAsia="Calibri" w:hAnsi="Times New Roman" w:cs="Times New Roman"/>
          <w:sz w:val="24"/>
          <w:szCs w:val="24"/>
          <w:lang w:eastAsia="ru-RU"/>
        </w:rPr>
        <w:t xml:space="preserve"> совмещении профессий (должностей)</w:t>
      </w:r>
      <w:r w:rsidRPr="00D603AD">
        <w:rPr>
          <w:rFonts w:ascii="Times New Roman" w:eastAsia="Times New Roman" w:hAnsi="Times New Roman" w:cs="Times New Roman"/>
          <w:sz w:val="24"/>
          <w:szCs w:val="24"/>
          <w:lang w:eastAsia="ru-RU"/>
        </w:rPr>
        <w:t>, увеличении объема работы);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28. Выплаты работникам, занятых на работах с вредными и (или) опасными условиями труда, устанавливаются в соответствии со </w:t>
      </w:r>
      <w:hyperlink r:id="rId14" w:history="1">
        <w:r w:rsidRPr="00D603AD">
          <w:rPr>
            <w:rFonts w:ascii="Times New Roman" w:eastAsia="Times New Roman" w:hAnsi="Times New Roman" w:cs="Times New Roman"/>
            <w:sz w:val="24"/>
            <w:szCs w:val="24"/>
            <w:lang w:eastAsia="ru-RU"/>
          </w:rPr>
          <w:t>статьёй 147</w:t>
        </w:r>
      </w:hyperlink>
      <w:r w:rsidRPr="00D603AD">
        <w:rPr>
          <w:rFonts w:ascii="Times New Roman" w:eastAsia="Times New Roman" w:hAnsi="Times New Roman" w:cs="Times New Roman"/>
          <w:sz w:val="24"/>
          <w:szCs w:val="24"/>
          <w:lang w:eastAsia="ru-RU"/>
        </w:rPr>
        <w:t xml:space="preserve"> Трудового кодекса Российской Федерации по результатам специальной оценки рабочих мест.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426 - ФЗ «О специальной оценке условий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29. 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w:t>
      </w:r>
      <w:hyperlink r:id="rId15" w:history="1">
        <w:r w:rsidRPr="00D603AD">
          <w:rPr>
            <w:rFonts w:ascii="Times New Roman" w:eastAsia="Times New Roman" w:hAnsi="Times New Roman" w:cs="Times New Roman"/>
            <w:sz w:val="24"/>
            <w:szCs w:val="24"/>
            <w:lang w:eastAsia="ru-RU"/>
          </w:rPr>
          <w:t>Законом</w:t>
        </w:r>
      </w:hyperlink>
      <w:r w:rsidRPr="00D603AD">
        <w:rPr>
          <w:rFonts w:ascii="Times New Roman" w:eastAsia="Times New Roman" w:hAnsi="Times New Roman" w:cs="Times New Roman"/>
          <w:sz w:val="24"/>
          <w:szCs w:val="24"/>
          <w:lang w:eastAsia="ru-RU"/>
        </w:rPr>
        <w:t xml:space="preserve"> Ханты - Мансийского автономного округа – Югры от 09.12.2004             № 76 - оз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 - Мансийского автономного округа – Югры, территориальном фонде обязательного медицинского страхования Ханты - Мансийского автономного округа – Югры», решением Думы города Югорска от 26.02.2016 № 7 «Об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30. Выплаты за работу в условиях, отклоняющихся от нормальных (при выполнении работ различной квалификации, расширении зон обслуживания,</w:t>
      </w:r>
      <w:r w:rsidRPr="00D603AD">
        <w:rPr>
          <w:rFonts w:ascii="Times New Roman" w:eastAsia="Calibri" w:hAnsi="Times New Roman" w:cs="Times New Roman"/>
          <w:sz w:val="24"/>
          <w:szCs w:val="24"/>
          <w:lang w:eastAsia="ru-RU"/>
        </w:rPr>
        <w:t xml:space="preserve"> совмещении профессий (должностей)</w:t>
      </w:r>
      <w:r w:rsidRPr="00D603AD">
        <w:rPr>
          <w:rFonts w:ascii="Times New Roman" w:eastAsia="Times New Roman" w:hAnsi="Times New Roman" w:cs="Times New Roman"/>
          <w:sz w:val="24"/>
          <w:szCs w:val="24"/>
          <w:lang w:eastAsia="ru-RU"/>
        </w:rPr>
        <w:t xml:space="preserve">,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16" w:history="1">
        <w:r w:rsidRPr="00D603AD">
          <w:rPr>
            <w:rFonts w:ascii="Times New Roman" w:eastAsia="Times New Roman" w:hAnsi="Times New Roman" w:cs="Times New Roman"/>
            <w:sz w:val="24"/>
            <w:szCs w:val="24"/>
            <w:lang w:eastAsia="ru-RU"/>
          </w:rPr>
          <w:t>статьями 149</w:t>
        </w:r>
      </w:hyperlink>
      <w:r w:rsidRPr="00D603AD">
        <w:rPr>
          <w:rFonts w:ascii="Times New Roman" w:eastAsia="Times New Roman" w:hAnsi="Times New Roman" w:cs="Times New Roman"/>
          <w:sz w:val="24"/>
          <w:szCs w:val="24"/>
          <w:lang w:eastAsia="ru-RU"/>
        </w:rPr>
        <w:t xml:space="preserve"> – </w:t>
      </w:r>
      <w:hyperlink r:id="rId17" w:history="1">
        <w:r w:rsidRPr="00D603AD">
          <w:rPr>
            <w:rFonts w:ascii="Times New Roman" w:eastAsia="Times New Roman" w:hAnsi="Times New Roman" w:cs="Times New Roman"/>
            <w:sz w:val="24"/>
            <w:szCs w:val="24"/>
            <w:lang w:eastAsia="ru-RU"/>
          </w:rPr>
          <w:t>154</w:t>
        </w:r>
      </w:hyperlink>
      <w:r w:rsidRPr="00D603AD">
        <w:rPr>
          <w:rFonts w:ascii="Times New Roman" w:eastAsia="Times New Roman" w:hAnsi="Times New Roman" w:cs="Times New Roman"/>
          <w:sz w:val="24"/>
          <w:szCs w:val="24"/>
          <w:lang w:eastAsia="ru-RU"/>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31. Перечень и размеры компенсационных выплат приведены в таблице 11 настоящего Положения.</w:t>
      </w:r>
    </w:p>
    <w:p w:rsidR="00D603AD" w:rsidRPr="00D603AD" w:rsidRDefault="00D603AD" w:rsidP="00D603A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Таблица 11</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и размеры компенсационных выплат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710"/>
        <w:gridCol w:w="3161"/>
        <w:gridCol w:w="3360"/>
      </w:tblGrid>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п/п</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Наименование выплаты</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выплаты</w:t>
            </w:r>
          </w:p>
        </w:tc>
        <w:tc>
          <w:tcPr>
            <w:tcW w:w="336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Условия осуществления выплаты (фактор, обуславливающий получение выплаты)</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работу в ночное время</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20% часовой тарифной ставки (должностного оклада, рассчитанного за час работы) за каждый час работы</w:t>
            </w:r>
          </w:p>
        </w:tc>
        <w:tc>
          <w:tcPr>
            <w:tcW w:w="336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статьёй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работу в выходной или нерабочий праздничный день</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 согласованию сторон в размере:</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не менее одинарной дневной или часовой ставки (части оклада(должностного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tc>
        <w:tc>
          <w:tcPr>
            <w:tcW w:w="3360" w:type="dxa"/>
            <w:shd w:val="clear" w:color="auto" w:fill="auto"/>
            <w:vAlign w:val="center"/>
          </w:tcPr>
          <w:p w:rsidR="00D603AD" w:rsidRPr="00D603AD" w:rsidRDefault="00D603AD" w:rsidP="00D603A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со статьёй 153 Трудового кодекса Российской Федерации.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за работу с вредными и (или) опасными условиями труда</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не менее 4%</w:t>
            </w:r>
          </w:p>
        </w:tc>
        <w:tc>
          <w:tcPr>
            <w:tcW w:w="336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 результатам специальной оценки условий труда работника.</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3161" w:type="dxa"/>
            <w:shd w:val="clear" w:color="auto" w:fill="auto"/>
            <w:vAlign w:val="center"/>
          </w:tcPr>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 xml:space="preserve">- не менее чем в полуторном размере </w:t>
            </w:r>
            <w:r w:rsidRPr="00D603AD">
              <w:rPr>
                <w:rFonts w:ascii="Times New Roman" w:eastAsia="Times New Roman" w:hAnsi="Times New Roman" w:cs="Times New Roman"/>
                <w:sz w:val="24"/>
                <w:szCs w:val="24"/>
                <w:lang w:eastAsia="ru-RU"/>
              </w:rPr>
              <w:t>за первые два часа работы;</w:t>
            </w:r>
          </w:p>
          <w:p w:rsidR="00D603AD" w:rsidRPr="00D603AD" w:rsidRDefault="00D603AD" w:rsidP="00D603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 не менее чем в двойном размере за последующие часы работы</w:t>
            </w:r>
          </w:p>
        </w:tc>
        <w:tc>
          <w:tcPr>
            <w:tcW w:w="3360" w:type="dxa"/>
            <w:shd w:val="clear" w:color="auto" w:fill="auto"/>
            <w:vAlign w:val="center"/>
          </w:tcPr>
          <w:p w:rsidR="00D603AD" w:rsidRPr="00D603AD" w:rsidRDefault="00D603AD" w:rsidP="00D603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со статьёй 152 Трудового кодекса Российской Федерации,</w:t>
            </w:r>
            <w:r w:rsidRPr="00D603AD">
              <w:rPr>
                <w:rFonts w:ascii="Times New Roman" w:eastAsia="Times New Roman" w:hAnsi="Times New Roman" w:cs="Times New Roman"/>
                <w:sz w:val="24"/>
                <w:szCs w:val="24"/>
                <w:lang w:eastAsia="ru-RU"/>
              </w:rPr>
              <w:t xml:space="preserve"> оформляется приказом руководителя по согласованию сторон, в зависимости от содержания и объема (нормы) выполняемой работы.</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360" w:type="dxa"/>
            <w:shd w:val="clear" w:color="auto" w:fill="auto"/>
            <w:vAlign w:val="center"/>
          </w:tcPr>
          <w:p w:rsidR="00D603AD" w:rsidRPr="00D603AD" w:rsidRDefault="00D603AD" w:rsidP="00D603A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статьями 60.2, 149, 151, 152 Трудового кодекса Российской Федерации.</w:t>
            </w:r>
          </w:p>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Оформляется приказом руководителя по согласованию сторон в зависимости от содержания и объема (нормы) выполняемой работы.</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6</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Районный коэффициент за работу в местностях с особыми климатическими условиями</w:t>
            </w:r>
          </w:p>
        </w:tc>
        <w:tc>
          <w:tcPr>
            <w:tcW w:w="3161"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1,7</w:t>
            </w:r>
          </w:p>
        </w:tc>
        <w:tc>
          <w:tcPr>
            <w:tcW w:w="3360" w:type="dxa"/>
            <w:vMerge w:val="restart"/>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Осуществляется в соответствии со статьями 315 – 317 Трудового кодекса Российской Федерации и Законом Ханты-Мансийского автономного округа – Югры от 09.12.2004 № 76-оз «</w:t>
            </w:r>
            <w:r w:rsidRPr="00D603AD">
              <w:rPr>
                <w:rFonts w:ascii="Times New Roman" w:eastAsia="Times New Roman" w:hAnsi="Times New Roman" w:cs="Times New Roman"/>
                <w:sz w:val="24"/>
                <w:szCs w:val="24"/>
                <w:lang w:eastAsia="ru-RU"/>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D603AD">
              <w:rPr>
                <w:rFonts w:ascii="Times New Roman" w:eastAsia="Calibri" w:hAnsi="Times New Roman" w:cs="Times New Roman"/>
                <w:sz w:val="24"/>
                <w:szCs w:val="24"/>
                <w:lang w:eastAsia="ru-RU"/>
              </w:rPr>
              <w:t>»,</w:t>
            </w:r>
            <w:r w:rsidRPr="00D603AD">
              <w:rPr>
                <w:rFonts w:ascii="Times New Roman" w:eastAsia="Times New Roman" w:hAnsi="Times New Roman" w:cs="Times New Roman"/>
                <w:sz w:val="24"/>
                <w:szCs w:val="24"/>
                <w:lang w:eastAsia="ru-RU"/>
              </w:rPr>
              <w:t xml:space="preserve"> решением Думы города Югорска от 26.02.2016 № 7 «Об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tc>
      </w:tr>
      <w:tr w:rsidR="00D603AD" w:rsidRPr="00D603AD" w:rsidTr="00FB369A">
        <w:tc>
          <w:tcPr>
            <w:tcW w:w="80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7</w:t>
            </w:r>
          </w:p>
        </w:tc>
        <w:tc>
          <w:tcPr>
            <w:tcW w:w="2710" w:type="dxa"/>
            <w:shd w:val="clear" w:color="auto" w:fill="auto"/>
            <w:vAlign w:val="center"/>
          </w:tcPr>
          <w:p w:rsidR="00D603AD" w:rsidRPr="00D603AD" w:rsidRDefault="00D603AD" w:rsidP="00D603A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Процентная надбавка за работу в местностях Крайнего Севера</w:t>
            </w:r>
          </w:p>
        </w:tc>
        <w:tc>
          <w:tcPr>
            <w:tcW w:w="3161" w:type="dxa"/>
            <w:shd w:val="clear" w:color="auto" w:fill="auto"/>
            <w:vAlign w:val="center"/>
          </w:tcPr>
          <w:p w:rsidR="00D603AD" w:rsidRPr="00D603AD" w:rsidRDefault="00D603AD" w:rsidP="00D603AD">
            <w:pPr>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до 50 %</w:t>
            </w:r>
          </w:p>
        </w:tc>
        <w:tc>
          <w:tcPr>
            <w:tcW w:w="3360" w:type="dxa"/>
            <w:vMerge/>
            <w:shd w:val="clear" w:color="auto" w:fill="auto"/>
            <w:vAlign w:val="center"/>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32. Выплаты, указанные в пунктах 1 - 5 таблицы 11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33. 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I</w:t>
      </w:r>
      <w:r w:rsidRPr="00D603AD">
        <w:rPr>
          <w:rFonts w:ascii="Times New Roman" w:eastAsia="Times New Roman" w:hAnsi="Times New Roman" w:cs="Times New Roman"/>
          <w:b/>
          <w:sz w:val="24"/>
          <w:szCs w:val="24"/>
          <w:lang w:eastAsia="ru-RU"/>
        </w:rPr>
        <w:t>V. Порядок и условия осуществления стимулирующих выплат, критерии их установления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34.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 интенсивность и высокие результаты работы;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за качество выполняемых работ;</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-премиальные выплаты по итогам работы за квартал, год.</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35. Выплата за интенсивность и высокие результаты работы характеризуется степенью напряженности в процессе труда и устанавливается за: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высокую результативность работы;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обеспечение безаварийной, безотказной и бесперебойной работы всех служб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за интенсивность и высокие результаты работы устанавливается работникам организаций, указанным в таблице 12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603AD">
        <w:rPr>
          <w:rFonts w:ascii="Times New Roman" w:eastAsia="Times New Roman" w:hAnsi="Times New Roman" w:cs="Times New Roman"/>
          <w:sz w:val="24"/>
          <w:szCs w:val="24"/>
          <w:lang w:eastAsia="ru-RU"/>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36.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w:t>
      </w:r>
      <w:r w:rsidRPr="00D603AD">
        <w:rPr>
          <w:rFonts w:ascii="Times New Roman" w:eastAsia="Calibri" w:hAnsi="Times New Roman" w:cs="Times New Roman"/>
          <w:sz w:val="24"/>
          <w:szCs w:val="24"/>
          <w:lang w:eastAsia="ru-RU"/>
        </w:rPr>
        <w:t>в соответствии с перечнем показателей эффективности деятельности организации, установленным главным распорядителем бюджетных средств</w:t>
      </w:r>
      <w:r w:rsidRPr="00D603AD">
        <w:rPr>
          <w:rFonts w:ascii="Times New Roman" w:eastAsia="Times New Roman" w:hAnsi="Times New Roman" w:cs="Times New Roman"/>
          <w:sz w:val="24"/>
          <w:szCs w:val="24"/>
          <w:lang w:eastAsia="ru-RU"/>
        </w:rPr>
        <w:t>.</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Вновь принятым работникам выплата за качество выполняемых работ за первый месяц работы устанавливается в размере 15%, а далее в соответствии с показателями и критериями оценки эффективности деятельности работников, установленные в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37. Перечень и размеры стимулирующих выплат устанавливаются в соответствии с таблицей 12 настоящего Положения.</w:t>
      </w:r>
    </w:p>
    <w:p w:rsidR="00D603AD" w:rsidRPr="00D603AD" w:rsidRDefault="00D603AD" w:rsidP="00D603AD">
      <w:pPr>
        <w:spacing w:after="0" w:line="240" w:lineRule="auto"/>
        <w:jc w:val="right"/>
        <w:rPr>
          <w:rFonts w:ascii="Times New Roman" w:eastAsia="Calibri" w:hAnsi="Times New Roman" w:cs="Times New Roman"/>
          <w:sz w:val="24"/>
          <w:szCs w:val="24"/>
        </w:rPr>
      </w:pPr>
      <w:r w:rsidRPr="00D603AD">
        <w:rPr>
          <w:rFonts w:ascii="Times New Roman" w:eastAsia="Calibri" w:hAnsi="Times New Roman" w:cs="Times New Roman"/>
          <w:sz w:val="24"/>
          <w:szCs w:val="24"/>
        </w:rPr>
        <w:t>Таблица 12</w:t>
      </w:r>
    </w:p>
    <w:p w:rsidR="00D603AD" w:rsidRPr="00D603AD" w:rsidRDefault="00D603AD" w:rsidP="00D603A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Перечень и размеры стимулирующих выплат работникам организации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701"/>
        <w:gridCol w:w="3969"/>
        <w:gridCol w:w="1985"/>
      </w:tblGrid>
      <w:tr w:rsidR="00D603AD" w:rsidRPr="00D603AD" w:rsidTr="00FB369A">
        <w:tc>
          <w:tcPr>
            <w:tcW w:w="817"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 п/п</w:t>
            </w:r>
          </w:p>
        </w:tc>
        <w:tc>
          <w:tcPr>
            <w:tcW w:w="155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Наименование выплаты</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trike/>
                <w:sz w:val="24"/>
                <w:szCs w:val="24"/>
              </w:rPr>
            </w:pPr>
            <w:r w:rsidRPr="00D603AD">
              <w:rPr>
                <w:rFonts w:ascii="Times New Roman" w:eastAsia="Calibri" w:hAnsi="Times New Roman" w:cs="Times New Roman"/>
                <w:sz w:val="24"/>
                <w:szCs w:val="24"/>
              </w:rPr>
              <w:t>Диапазон выплаты</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Условия осуществления выплаты</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Периодичность осуществления выплаты</w:t>
            </w:r>
          </w:p>
        </w:tc>
      </w:tr>
      <w:tr w:rsidR="00D603AD" w:rsidRPr="00D603AD" w:rsidTr="00FB369A">
        <w:tc>
          <w:tcPr>
            <w:tcW w:w="817" w:type="dxa"/>
            <w:vMerge w:val="restart"/>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1.1</w:t>
            </w:r>
          </w:p>
        </w:tc>
        <w:tc>
          <w:tcPr>
            <w:tcW w:w="1559" w:type="dxa"/>
            <w:vMerge w:val="restart"/>
            <w:shd w:val="clear" w:color="auto" w:fill="auto"/>
            <w:vAlign w:val="center"/>
          </w:tcPr>
          <w:p w:rsidR="00D603AD" w:rsidRPr="00D603AD" w:rsidRDefault="00D603AD" w:rsidP="00D603AD">
            <w:pPr>
              <w:spacing w:after="0" w:line="240" w:lineRule="auto"/>
              <w:ind w:left="-75" w:right="-10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 интенсивность и высокие результаты работы</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i/>
                <w:sz w:val="24"/>
                <w:szCs w:val="24"/>
              </w:rPr>
            </w:pPr>
            <w:r w:rsidRPr="00D603AD">
              <w:rPr>
                <w:rFonts w:ascii="Times New Roman" w:eastAsia="Calibri" w:hAnsi="Times New Roman" w:cs="Times New Roman"/>
                <w:sz w:val="24"/>
                <w:szCs w:val="24"/>
              </w:rPr>
              <w:t>В абсолютном размере</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Заместителям руководителя, главному бухгалтеру, руководителям структурных подразделений, педагогическим работникам</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Ежемесячно, за счет средств от приносящей доход деятельности</w:t>
            </w:r>
          </w:p>
        </w:tc>
      </w:tr>
      <w:tr w:rsidR="00D603AD" w:rsidRPr="00D603AD" w:rsidTr="00FB369A">
        <w:tc>
          <w:tcPr>
            <w:tcW w:w="817"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559"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0-100%</w:t>
            </w:r>
          </w:p>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(для вновь принятых за первый месяц работы - 15%)</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Специалистам (за исключением педагогических работников), служащим, рабочим всех типов организаций за выполнение плановых работ надлежащего качества в срок или сокращенный период</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Ежемесячно с даты приема на работу</w:t>
            </w:r>
          </w:p>
        </w:tc>
      </w:tr>
      <w:tr w:rsidR="00D603AD" w:rsidRPr="00D603AD" w:rsidTr="00FB369A">
        <w:tc>
          <w:tcPr>
            <w:tcW w:w="817" w:type="dxa"/>
            <w:vMerge w:val="restart"/>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1.2</w:t>
            </w:r>
          </w:p>
        </w:tc>
        <w:tc>
          <w:tcPr>
            <w:tcW w:w="1559" w:type="dxa"/>
            <w:vMerge w:val="restart"/>
            <w:shd w:val="clear" w:color="auto" w:fill="auto"/>
            <w:vAlign w:val="center"/>
          </w:tcPr>
          <w:p w:rsidR="00D603AD" w:rsidRPr="00D603AD" w:rsidRDefault="00D603AD" w:rsidP="00D603AD">
            <w:pPr>
              <w:spacing w:after="0" w:line="240" w:lineRule="auto"/>
              <w:ind w:left="-75"/>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Выплата за качество выполняемой работы</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0-100%</w:t>
            </w:r>
          </w:p>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(для вновь принятых за первый месяц работы - 15%)</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Заместителям руководителя, главному бухгалтеру, руководителям структурных подразделений, педагогическим работникам в соответствии с показателями эффективности деятельности</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Ежемесячно</w:t>
            </w:r>
          </w:p>
        </w:tc>
      </w:tr>
      <w:tr w:rsidR="00D603AD" w:rsidRPr="00D603AD" w:rsidTr="00FB369A">
        <w:tc>
          <w:tcPr>
            <w:tcW w:w="817"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559"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i/>
                <w:sz w:val="24"/>
                <w:szCs w:val="24"/>
              </w:rPr>
            </w:pPr>
            <w:r w:rsidRPr="00D603AD">
              <w:rPr>
                <w:rFonts w:ascii="Times New Roman" w:eastAsia="Calibri" w:hAnsi="Times New Roman" w:cs="Times New Roman"/>
                <w:sz w:val="24"/>
                <w:szCs w:val="24"/>
              </w:rPr>
              <w:t>В абсолютном размере</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Специалистам (за исключением педагогических работников), служащим, рабочим всех типов организаций в соответствии с показателями эффективности деятельности</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Ежемесячно, за счет средств от приносящей доход деятельности</w:t>
            </w:r>
          </w:p>
        </w:tc>
      </w:tr>
      <w:tr w:rsidR="00D603AD" w:rsidRPr="00D603AD" w:rsidTr="00FB369A">
        <w:tc>
          <w:tcPr>
            <w:tcW w:w="817"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559" w:type="dxa"/>
            <w:vMerge/>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i/>
                <w:sz w:val="24"/>
                <w:szCs w:val="24"/>
              </w:rPr>
            </w:pPr>
            <w:r w:rsidRPr="00D603AD">
              <w:rPr>
                <w:rFonts w:ascii="Times New Roman" w:eastAsia="Calibri" w:hAnsi="Times New Roman" w:cs="Times New Roman"/>
                <w:sz w:val="24"/>
                <w:szCs w:val="24"/>
              </w:rPr>
              <w:t>В абсолютном размере</w:t>
            </w: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 особые достижения при оказании услуг (выполнении работ) по факту получения результата в соответствии с показателями эффективности деятельности</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Единовременно, в пределах экономии средств по фонду оплаты труда</w:t>
            </w:r>
          </w:p>
        </w:tc>
      </w:tr>
      <w:tr w:rsidR="00D603AD" w:rsidRPr="00D603AD" w:rsidTr="00FB369A">
        <w:tc>
          <w:tcPr>
            <w:tcW w:w="817"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1.3.</w:t>
            </w:r>
          </w:p>
        </w:tc>
        <w:tc>
          <w:tcPr>
            <w:tcW w:w="155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Премиальная выплата по итогам работы</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396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p>
        </w:tc>
      </w:tr>
      <w:tr w:rsidR="00D603AD" w:rsidRPr="00D603AD" w:rsidTr="00FB369A">
        <w:tc>
          <w:tcPr>
            <w:tcW w:w="817"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1.3.1.</w:t>
            </w:r>
          </w:p>
        </w:tc>
        <w:tc>
          <w:tcPr>
            <w:tcW w:w="1559"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 квартал</w:t>
            </w:r>
          </w:p>
        </w:tc>
        <w:tc>
          <w:tcPr>
            <w:tcW w:w="1701" w:type="dxa"/>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0 – 1,0 фонда оплаты труда работника</w:t>
            </w:r>
          </w:p>
        </w:tc>
        <w:tc>
          <w:tcPr>
            <w:tcW w:w="3969" w:type="dxa"/>
            <w:shd w:val="clear" w:color="auto" w:fill="auto"/>
            <w:vAlign w:val="center"/>
          </w:tcPr>
          <w:p w:rsidR="00D603AD" w:rsidRPr="00D603AD" w:rsidRDefault="00D603AD" w:rsidP="00D603AD">
            <w:pPr>
              <w:spacing w:after="0" w:line="240" w:lineRule="auto"/>
              <w:rPr>
                <w:rFonts w:ascii="Times New Roman" w:eastAsia="Calibri" w:hAnsi="Times New Roman" w:cs="Times New Roman"/>
                <w:sz w:val="24"/>
                <w:szCs w:val="24"/>
              </w:rPr>
            </w:pPr>
            <w:r w:rsidRPr="00D603AD">
              <w:rPr>
                <w:rFonts w:ascii="Times New Roman" w:eastAsia="Calibri" w:hAnsi="Times New Roman" w:cs="Times New Roman"/>
                <w:sz w:val="24"/>
                <w:szCs w:val="24"/>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безконфликтность, создание здоровой, деловой обстановки в коллективе</w:t>
            </w:r>
          </w:p>
        </w:tc>
        <w:tc>
          <w:tcPr>
            <w:tcW w:w="1985" w:type="dxa"/>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 раз в квартал</w:t>
            </w:r>
          </w:p>
        </w:tc>
      </w:tr>
      <w:tr w:rsidR="00D603AD" w:rsidRPr="00D603AD" w:rsidTr="00FB369A">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За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0 – 1,5 фонда оплаты труда работника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603AD" w:rsidRPr="00D603AD" w:rsidRDefault="00D603AD" w:rsidP="00D603AD">
            <w:pPr>
              <w:spacing w:after="0" w:line="240" w:lineRule="auto"/>
              <w:ind w:left="-53" w:right="-68"/>
              <w:jc w:val="center"/>
              <w:rPr>
                <w:rFonts w:ascii="Times New Roman" w:eastAsia="Calibri" w:hAnsi="Times New Roman" w:cs="Times New Roman"/>
                <w:sz w:val="24"/>
                <w:szCs w:val="24"/>
              </w:rPr>
            </w:pPr>
            <w:r w:rsidRPr="00D603AD">
              <w:rPr>
                <w:rFonts w:ascii="Times New Roman" w:eastAsia="Calibri" w:hAnsi="Times New Roman" w:cs="Times New Roman"/>
                <w:sz w:val="24"/>
                <w:szCs w:val="24"/>
              </w:rPr>
              <w:t>1 раз в год</w:t>
            </w:r>
          </w:p>
        </w:tc>
      </w:tr>
    </w:tbl>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38.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VII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Премиальная выплата по итогам работы за </w:t>
      </w:r>
      <w:r w:rsidRPr="00D603AD">
        <w:rPr>
          <w:rFonts w:ascii="Times New Roman" w:eastAsia="Times New Roman" w:hAnsi="Times New Roman" w:cs="Times New Roman"/>
          <w:sz w:val="24"/>
          <w:szCs w:val="24"/>
          <w:lang w:val="en-US" w:eastAsia="ru-RU"/>
        </w:rPr>
        <w:t>I</w:t>
      </w:r>
      <w:r w:rsidRPr="00D603AD">
        <w:rPr>
          <w:rFonts w:ascii="Times New Roman" w:eastAsia="Times New Roman" w:hAnsi="Times New Roman" w:cs="Times New Roman"/>
          <w:sz w:val="24"/>
          <w:szCs w:val="24"/>
          <w:lang w:eastAsia="ru-RU"/>
        </w:rPr>
        <w:t xml:space="preserve">, </w:t>
      </w:r>
      <w:r w:rsidRPr="00D603AD">
        <w:rPr>
          <w:rFonts w:ascii="Times New Roman" w:eastAsia="Times New Roman" w:hAnsi="Times New Roman" w:cs="Times New Roman"/>
          <w:sz w:val="24"/>
          <w:szCs w:val="24"/>
          <w:lang w:val="en-US" w:eastAsia="ru-RU"/>
        </w:rPr>
        <w:t>II</w:t>
      </w:r>
      <w:r w:rsidRPr="00D603AD">
        <w:rPr>
          <w:rFonts w:ascii="Times New Roman" w:eastAsia="Times New Roman" w:hAnsi="Times New Roman" w:cs="Times New Roman"/>
          <w:sz w:val="24"/>
          <w:szCs w:val="24"/>
          <w:lang w:eastAsia="ru-RU"/>
        </w:rPr>
        <w:t xml:space="preserve">, </w:t>
      </w:r>
      <w:r w:rsidRPr="00D603AD">
        <w:rPr>
          <w:rFonts w:ascii="Times New Roman" w:eastAsia="Times New Roman" w:hAnsi="Times New Roman" w:cs="Times New Roman"/>
          <w:sz w:val="24"/>
          <w:szCs w:val="24"/>
          <w:lang w:val="en-US" w:eastAsia="ru-RU"/>
        </w:rPr>
        <w:t>III</w:t>
      </w:r>
      <w:r w:rsidRPr="00D603AD">
        <w:rPr>
          <w:rFonts w:ascii="Times New Roman" w:eastAsia="Times New Roman" w:hAnsi="Times New Roman" w:cs="Times New Roman"/>
          <w:sz w:val="24"/>
          <w:szCs w:val="24"/>
          <w:lang w:eastAsia="ru-RU"/>
        </w:rPr>
        <w:t xml:space="preserve"> квартал выплачивается до 20 числа месяца, следующего за отчетным периодом, за </w:t>
      </w:r>
      <w:r w:rsidRPr="00D603AD">
        <w:rPr>
          <w:rFonts w:ascii="Times New Roman" w:eastAsia="Times New Roman" w:hAnsi="Times New Roman" w:cs="Times New Roman"/>
          <w:sz w:val="24"/>
          <w:szCs w:val="24"/>
          <w:lang w:val="en-US" w:eastAsia="ru-RU"/>
        </w:rPr>
        <w:t>IV</w:t>
      </w:r>
      <w:r w:rsidRPr="00D603AD">
        <w:rPr>
          <w:rFonts w:ascii="Times New Roman" w:eastAsia="Times New Roman" w:hAnsi="Times New Roman" w:cs="Times New Roman"/>
          <w:sz w:val="24"/>
          <w:szCs w:val="24"/>
          <w:lang w:eastAsia="ru-RU"/>
        </w:rPr>
        <w:t xml:space="preserve"> квартал, год в декабре текущего финансового года.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Премиальная выплата по итогам работы за квартал, год не выплачивается работникам, имеющим неснятое дисциплинарное взыскание.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Примерный перечень показателей и условий для премирования работников организации:</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надлежащее исполнение возложенных на работника функций и полномочий в отчетном периоде;</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соблюдение служебной дисциплины, умение организовать работу, бесконфликтность, создание здоровой, деловой обстановки в коллективе.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Показатели, за которые производится снижение размера премиальной выплаты                           по итогам работы за квартал, год, устанавливаются в соответствии с таблицей 13 настоящего Положения.</w:t>
      </w:r>
    </w:p>
    <w:p w:rsidR="00D603AD" w:rsidRPr="00D603AD" w:rsidRDefault="00D603AD" w:rsidP="00D603AD">
      <w:pPr>
        <w:widowControl w:val="0"/>
        <w:autoSpaceDE w:val="0"/>
        <w:autoSpaceDN w:val="0"/>
        <w:spacing w:after="0" w:line="240" w:lineRule="auto"/>
        <w:ind w:firstLine="540"/>
        <w:jc w:val="right"/>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Таблица 13</w:t>
      </w:r>
    </w:p>
    <w:p w:rsidR="00D603AD" w:rsidRPr="00D603AD" w:rsidRDefault="00D603AD" w:rsidP="00D603AD">
      <w:pPr>
        <w:widowControl w:val="0"/>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Показатели, за которые производится снижение размера премиальной выплаты по итогам работы за квартал,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4750"/>
      </w:tblGrid>
      <w:tr w:rsidR="00D603AD" w:rsidRPr="00D603AD" w:rsidTr="00FB369A">
        <w:tc>
          <w:tcPr>
            <w:tcW w:w="675"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п/п</w:t>
            </w:r>
          </w:p>
        </w:tc>
        <w:tc>
          <w:tcPr>
            <w:tcW w:w="4678"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Показатели</w:t>
            </w:r>
          </w:p>
        </w:tc>
        <w:tc>
          <w:tcPr>
            <w:tcW w:w="475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Процент снижения от общего (допустимого) объема выплаты работнику</w:t>
            </w:r>
          </w:p>
        </w:tc>
      </w:tr>
      <w:tr w:rsidR="00D603AD" w:rsidRPr="00D603AD" w:rsidTr="00FB369A">
        <w:tc>
          <w:tcPr>
            <w:tcW w:w="675" w:type="dxa"/>
            <w:shd w:val="clear" w:color="auto" w:fill="auto"/>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1</w:t>
            </w:r>
          </w:p>
        </w:tc>
        <w:tc>
          <w:tcPr>
            <w:tcW w:w="4678" w:type="dxa"/>
            <w:shd w:val="clear" w:color="auto" w:fill="auto"/>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Неисполнение или ненадлежащее исполнение должностных обязанностей, неквалифицированная подготовка документов</w:t>
            </w:r>
          </w:p>
        </w:tc>
        <w:tc>
          <w:tcPr>
            <w:tcW w:w="4750" w:type="dxa"/>
            <w:shd w:val="clear" w:color="auto" w:fill="auto"/>
            <w:vAlign w:val="center"/>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20%</w:t>
            </w:r>
          </w:p>
        </w:tc>
      </w:tr>
      <w:tr w:rsidR="00D603AD" w:rsidRPr="00D603AD" w:rsidTr="00FB369A">
        <w:tc>
          <w:tcPr>
            <w:tcW w:w="675" w:type="dxa"/>
            <w:shd w:val="clear" w:color="auto" w:fill="auto"/>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2</w:t>
            </w:r>
          </w:p>
        </w:tc>
        <w:tc>
          <w:tcPr>
            <w:tcW w:w="4678" w:type="dxa"/>
            <w:shd w:val="clear" w:color="auto" w:fill="auto"/>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Некачественное, несвоевременное выполнение планов работы, постановлений, распоряжений, решений, поручений</w:t>
            </w:r>
          </w:p>
        </w:tc>
        <w:tc>
          <w:tcPr>
            <w:tcW w:w="4750" w:type="dxa"/>
            <w:shd w:val="clear" w:color="auto" w:fill="auto"/>
            <w:vAlign w:val="center"/>
          </w:tcPr>
          <w:p w:rsidR="00D603AD" w:rsidRPr="00D603AD" w:rsidRDefault="00D603AD" w:rsidP="00D603AD">
            <w:pPr>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20%</w:t>
            </w:r>
          </w:p>
        </w:tc>
      </w:tr>
      <w:tr w:rsidR="00D603AD" w:rsidRPr="00D603AD" w:rsidTr="00FB369A">
        <w:tc>
          <w:tcPr>
            <w:tcW w:w="675" w:type="dxa"/>
            <w:shd w:val="clear" w:color="auto" w:fill="auto"/>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w:t>
            </w:r>
          </w:p>
        </w:tc>
        <w:tc>
          <w:tcPr>
            <w:tcW w:w="4678" w:type="dxa"/>
            <w:shd w:val="clear" w:color="auto" w:fill="auto"/>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Нарушение сроков представления установленной отчетности, представление не достоверной информации</w:t>
            </w:r>
          </w:p>
        </w:tc>
        <w:tc>
          <w:tcPr>
            <w:tcW w:w="4750" w:type="dxa"/>
            <w:shd w:val="clear" w:color="auto" w:fill="auto"/>
            <w:vAlign w:val="center"/>
          </w:tcPr>
          <w:p w:rsidR="00D603AD" w:rsidRPr="00D603AD" w:rsidRDefault="00D603AD" w:rsidP="00D603AD">
            <w:pPr>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20%</w:t>
            </w:r>
          </w:p>
        </w:tc>
      </w:tr>
      <w:tr w:rsidR="00D603AD" w:rsidRPr="00D603AD" w:rsidTr="00FB369A">
        <w:tc>
          <w:tcPr>
            <w:tcW w:w="675" w:type="dxa"/>
            <w:shd w:val="clear" w:color="auto" w:fill="auto"/>
          </w:tcPr>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w:t>
            </w:r>
          </w:p>
        </w:tc>
        <w:tc>
          <w:tcPr>
            <w:tcW w:w="4678" w:type="dxa"/>
            <w:shd w:val="clear" w:color="auto" w:fill="auto"/>
          </w:tcPr>
          <w:p w:rsidR="00D603AD" w:rsidRPr="00D603AD" w:rsidRDefault="00D603AD" w:rsidP="00D603AD">
            <w:pPr>
              <w:widowControl w:val="0"/>
              <w:autoSpaceDE w:val="0"/>
              <w:autoSpaceDN w:val="0"/>
              <w:spacing w:after="0" w:line="240" w:lineRule="auto"/>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Несоблюдение трудовой дисциплины</w:t>
            </w:r>
          </w:p>
        </w:tc>
        <w:tc>
          <w:tcPr>
            <w:tcW w:w="4750" w:type="dxa"/>
            <w:shd w:val="clear" w:color="auto" w:fill="auto"/>
            <w:vAlign w:val="center"/>
          </w:tcPr>
          <w:p w:rsidR="00D603AD" w:rsidRPr="00D603AD" w:rsidRDefault="00D603AD" w:rsidP="00D603AD">
            <w:pPr>
              <w:spacing w:after="0" w:line="240" w:lineRule="auto"/>
              <w:jc w:val="center"/>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до 20%</w:t>
            </w:r>
          </w:p>
        </w:tc>
      </w:tr>
    </w:tbl>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V</w:t>
      </w:r>
      <w:r w:rsidRPr="00D603AD">
        <w:rPr>
          <w:rFonts w:ascii="Times New Roman" w:eastAsia="Times New Roman" w:hAnsi="Times New Roman" w:cs="Times New Roman"/>
          <w:b/>
          <w:sz w:val="24"/>
          <w:szCs w:val="24"/>
          <w:lang w:eastAsia="ru-RU"/>
        </w:rPr>
        <w:t>. Порядок и условия оплаты труда руководителя организации, его заместителей и главного бухгалтера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39.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40. Размер должностного оклада, компенсационных, стимулирующих, иных выплат руководителю организации устанавливаются приказом главного распорядителя бюджетных средств и указывается в трудовом договоре.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41.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42.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603AD">
        <w:rPr>
          <w:rFonts w:ascii="Times New Roman" w:eastAsia="Calibri" w:hAnsi="Times New Roman" w:cs="Times New Roman"/>
          <w:sz w:val="24"/>
          <w:szCs w:val="24"/>
          <w:lang w:eastAsia="ru-RU"/>
        </w:rPr>
        <w:t xml:space="preserve">43.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w:t>
      </w:r>
      <w:r w:rsidRPr="00D603AD">
        <w:rPr>
          <w:rFonts w:ascii="Times New Roman" w:eastAsia="Times New Roman" w:hAnsi="Times New Roman" w:cs="Times New Roman"/>
          <w:sz w:val="24"/>
          <w:szCs w:val="24"/>
          <w:lang w:eastAsia="ru-RU"/>
        </w:rPr>
        <w:t>главного распорядителя бюджетных средств</w:t>
      </w:r>
      <w:r w:rsidRPr="00D603AD">
        <w:rPr>
          <w:rFonts w:ascii="Times New Roman" w:eastAsia="Calibri" w:hAnsi="Times New Roman" w:cs="Times New Roman"/>
          <w:sz w:val="24"/>
          <w:szCs w:val="24"/>
          <w:lang w:eastAsia="ru-RU"/>
        </w:rPr>
        <w:t xml:space="preserve">                          (в пределах максимального объема средств, направляемого на стимулирование руководителя организации).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44.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главного распорядителя бюджетных средств.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D603AD">
        <w:rPr>
          <w:rFonts w:ascii="Times New Roman" w:eastAsia="Times New Roman" w:hAnsi="Times New Roman" w:cs="Times New Roman"/>
          <w:sz w:val="24"/>
          <w:szCs w:val="24"/>
          <w:lang w:eastAsia="ru-RU"/>
        </w:rPr>
        <w:t>45.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до 49 единиц – 17%;</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от 50 до 99 единиц - 13%;</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от 100 до 249 единиц- 10%;</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от 250 до 499 единиц - 6%;</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от 500 до 999 единиц - 4%;</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организациях со штатной численностью свыше 1000 единиц - 3%.</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46. Стимулирующие выплаты руководителю организации снижаются в следующих случаях:</w:t>
      </w:r>
    </w:p>
    <w:p w:rsidR="00D603AD" w:rsidRPr="00D603AD" w:rsidRDefault="00D603AD" w:rsidP="00D603AD">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D603AD">
        <w:rPr>
          <w:rFonts w:ascii="Times New Roman" w:eastAsia="Calibri" w:hAnsi="Times New Roman" w:cs="Times New Roman"/>
          <w:iCs/>
          <w:sz w:val="24"/>
          <w:szCs w:val="24"/>
          <w:lang w:eastAsia="ru-RU"/>
        </w:rPr>
        <w:t>- 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D603AD" w:rsidRPr="00D603AD" w:rsidRDefault="00D603AD" w:rsidP="00D603AD">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D603AD">
        <w:rPr>
          <w:rFonts w:ascii="Times New Roman" w:eastAsia="Calibri" w:hAnsi="Times New Roman" w:cs="Times New Roman"/>
          <w:iCs/>
          <w:sz w:val="24"/>
          <w:szCs w:val="24"/>
          <w:lang w:eastAsia="ru-RU"/>
        </w:rPr>
        <w:t>-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муниципальному образованию, организации, выявленных                      в отчетном периоде по результатам контрольных мероприятий, осуществляемых управлением контроля администрации города Югорска и других органов в отношении организации                        или за предыдущие периоды, но не более чем за 2 года;</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 несоблюдение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47.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37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48. Иные выплаты руководителю, заместителям руководителя и главному бухгалтеру организации устанавливаются в порядке и размерах, установленных разделом VI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sz w:val="24"/>
          <w:szCs w:val="24"/>
          <w:lang w:eastAsia="ru-RU"/>
        </w:rPr>
        <w:t xml:space="preserve">49. Соотношение </w:t>
      </w:r>
      <w:r w:rsidRPr="00D603AD">
        <w:rPr>
          <w:rFonts w:ascii="Times New Roman" w:eastAsia="Calibri" w:hAnsi="Times New Roman" w:cs="Times New Roman"/>
          <w:sz w:val="24"/>
          <w:szCs w:val="24"/>
        </w:rPr>
        <w:t>среднемесячной</w:t>
      </w:r>
      <w:r w:rsidRPr="00D603AD">
        <w:rPr>
          <w:rFonts w:ascii="Times New Roman" w:eastAsia="Times New Roman" w:hAnsi="Times New Roman" w:cs="Times New Roman"/>
          <w:sz w:val="24"/>
          <w:szCs w:val="24"/>
          <w:lang w:eastAsia="ru-RU"/>
        </w:rPr>
        <w:t xml:space="preserve"> заработной платы руководителя, его</w:t>
      </w:r>
      <w:r w:rsidRPr="00D603AD">
        <w:rPr>
          <w:rFonts w:ascii="Times New Roman" w:eastAsia="Times New Roman" w:hAnsi="Times New Roman" w:cs="Times New Roman"/>
          <w:bCs/>
          <w:sz w:val="24"/>
          <w:szCs w:val="24"/>
        </w:rPr>
        <w:t xml:space="preserve"> заместителей                        и главного бухгалтера и </w:t>
      </w:r>
      <w:r w:rsidRPr="00D603AD">
        <w:rPr>
          <w:rFonts w:ascii="Times New Roman" w:eastAsia="Calibri" w:hAnsi="Times New Roman" w:cs="Times New Roman"/>
          <w:sz w:val="24"/>
          <w:szCs w:val="24"/>
        </w:rPr>
        <w:t xml:space="preserve">среднемесячной </w:t>
      </w:r>
      <w:r w:rsidRPr="00D603AD">
        <w:rPr>
          <w:rFonts w:ascii="Times New Roman" w:eastAsia="Times New Roman" w:hAnsi="Times New Roman" w:cs="Times New Roman"/>
          <w:bCs/>
          <w:sz w:val="24"/>
          <w:szCs w:val="24"/>
        </w:rPr>
        <w:t>заработной платы работников организации (</w:t>
      </w:r>
      <w:r w:rsidRPr="00D603AD">
        <w:rPr>
          <w:rFonts w:ascii="Times New Roman" w:eastAsia="Times New Roman" w:hAnsi="Times New Roman" w:cs="Times New Roman"/>
          <w:sz w:val="24"/>
          <w:szCs w:val="24"/>
        </w:rPr>
        <w:t xml:space="preserve">без учета заработной платы соответствующего руководителя, его заместителей, главного бухгалтера) </w:t>
      </w:r>
      <w:r w:rsidRPr="00D603AD">
        <w:rPr>
          <w:rFonts w:ascii="Times New Roman" w:eastAsia="Times New Roman" w:hAnsi="Times New Roman" w:cs="Times New Roman"/>
          <w:bCs/>
          <w:sz w:val="24"/>
          <w:szCs w:val="24"/>
        </w:rPr>
        <w:t>формируется</w:t>
      </w:r>
      <w:r w:rsidRPr="00D603AD">
        <w:rPr>
          <w:rFonts w:ascii="Times New Roman" w:eastAsia="Calibri" w:hAnsi="Times New Roman" w:cs="Times New Roman"/>
          <w:sz w:val="24"/>
          <w:szCs w:val="24"/>
        </w:rPr>
        <w:t xml:space="preserve"> за счёт всех финансовых источников и</w:t>
      </w:r>
      <w:r w:rsidRPr="00D603AD">
        <w:rPr>
          <w:rFonts w:ascii="Times New Roman" w:eastAsia="Times New Roman" w:hAnsi="Times New Roman" w:cs="Times New Roman"/>
          <w:bCs/>
          <w:sz w:val="24"/>
          <w:szCs w:val="24"/>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50.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sz w:val="24"/>
          <w:szCs w:val="24"/>
          <w:lang w:eastAsia="ru-RU"/>
        </w:rPr>
        <w:t>- в дошкольных образовательных организациях:</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 у руководителя –4;</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 у заместителей руководителя и главного бухгалтера –4;</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в общеобразовательных организациях:</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 у руководителя –5;</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03AD">
        <w:rPr>
          <w:rFonts w:ascii="Times New Roman" w:eastAsia="Times New Roman" w:hAnsi="Times New Roman" w:cs="Times New Roman"/>
          <w:bCs/>
          <w:sz w:val="24"/>
          <w:szCs w:val="24"/>
        </w:rPr>
        <w:t>- у заместителей руководителя и главного бухгалтера –5;</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51. 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VI</w:t>
      </w:r>
      <w:r w:rsidRPr="00D603AD">
        <w:rPr>
          <w:rFonts w:ascii="Times New Roman" w:eastAsia="Times New Roman" w:hAnsi="Times New Roman" w:cs="Times New Roman"/>
          <w:b/>
          <w:sz w:val="24"/>
          <w:szCs w:val="24"/>
          <w:lang w:eastAsia="ru-RU"/>
        </w:rPr>
        <w:t>. Другие вопросы оплаты труда</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Calibri" w:hAnsi="Times New Roman" w:cs="Times New Roman"/>
          <w:sz w:val="24"/>
          <w:szCs w:val="24"/>
          <w:lang w:eastAsia="ru-RU"/>
        </w:rPr>
        <w:t>52. В целях повышения эффективности и устойчивости работы организации</w:t>
      </w:r>
      <w:r w:rsidRPr="00D603AD">
        <w:rPr>
          <w:rFonts w:ascii="Times New Roman" w:eastAsia="Times New Roman" w:hAnsi="Times New Roman" w:cs="Times New Roman"/>
          <w:sz w:val="24"/>
          <w:szCs w:val="24"/>
          <w:lang w:eastAsia="ru-RU"/>
        </w:rPr>
        <w:t xml:space="preserve">, учитывая особенности и специфику его работы, а также с целью социальной защищенности работникам </w:t>
      </w:r>
      <w:r w:rsidRPr="00D603AD">
        <w:rPr>
          <w:rFonts w:ascii="Times New Roman" w:eastAsia="Calibri" w:hAnsi="Times New Roman" w:cs="Times New Roman"/>
          <w:sz w:val="24"/>
          <w:szCs w:val="24"/>
          <w:lang w:eastAsia="ru-RU"/>
        </w:rPr>
        <w:t>организации</w:t>
      </w:r>
      <w:r w:rsidRPr="00D603AD">
        <w:rPr>
          <w:rFonts w:ascii="Times New Roman" w:eastAsia="Times New Roman" w:hAnsi="Times New Roman" w:cs="Times New Roman"/>
          <w:sz w:val="24"/>
          <w:szCs w:val="24"/>
          <w:lang w:eastAsia="ru-RU"/>
        </w:rPr>
        <w:t xml:space="preserve"> устанавливаются иные выплаты.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К иным выплатам относятся: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единовременная выплата молодым специалистам;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материальная помощь на профилактику заболеваний;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единовременное премирование к праздничным дням, профессиональным праздникам;</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 ежемесячная доплата молодым специалистам из числа педагогических работников.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53. 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54. Работникам учреждений один раз в календарном году при уходе в ежегодный оплачиваемый отпуск выплачивается материальная помощь на профилактику заболеваний.</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материальной помощи на профилактику заболеваний осуществляется                               в пределах доведенных бюджетных ассигнований, лимитов бюджетных обязательств бюджета города Югорска и средств, поступающих от приносящей доход деятельности.</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Решение о выплате материальной помощи на профилактику заболеваний работнику принимается руководителем учреждения и оформляется его приказом.</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Размер материальной помощи на профилактику заболеваний устанавливается коллективным договором, соглашением, локальным нормативным актом учреждения                            </w:t>
      </w:r>
      <w:r w:rsidRPr="00D603AD">
        <w:rPr>
          <w:rFonts w:ascii="Times New Roman" w:eastAsia="Calibri" w:hAnsi="Times New Roman" w:cs="Times New Roman"/>
          <w:sz w:val="24"/>
          <w:szCs w:val="24"/>
          <w:lang w:eastAsia="ru-RU"/>
        </w:rPr>
        <w:t>и составляет не более 2 фондов оплаты труда.</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расчет месячного фонда оплаты труда для расчета материальной помощи                               на профилактику заболеваний всем работникам учреждения включаются должностной оклад или тарифная ставка (оклад) на одну ставку за норму часов (продолжительность рабочего времени), установленную законодательством, компенсационные и стимулирующие выплаты                          в процентах, указанных в пункте 58 настоящего Положения.</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Низкооплачиваемым категориям работников, работающим на одну ставку за норму часов, установленную законодательством и отработавшим полный календарный год, материальная помощь на профилактику заболеваний выплачивается в размере не ниже двух минимальных размеров оплаты труда, установленных в автономном округе.</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 случае, если прожиточный минимум для трудоспособного населения                                        в Ханты - Мансийском автономном округе – Югре выше минимального размера оплаты труда, выплата материальной помощи на профилактику заболеваний работнику производится                         в размере не ниже двух прожиточных минимумов для трудоспособного населения, установленного в Ханты - Мансийском автономном округе – Югре на момент начисления материальной помощи на профилактику заболеваний работнику.</w:t>
      </w:r>
    </w:p>
    <w:p w:rsidR="00D603AD" w:rsidRPr="00D603AD" w:rsidRDefault="00D603AD" w:rsidP="00D603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Работникам, принятым на неполную ставку (норму часов) по основному месту работы (на 0,25; 0,5; 0,75 ставки), выплата материальной помощи на профилактику заболеваний производится пропорционально отработанному времени.</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материальной помощи на профилактику заболеваний не зависит от итогов оценки труда работника.</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Материальная помощь на профилактику заболеваний в размере пропорционально отработанному времени выплачивается работнику, не отработавшему полный календарный год:</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вновь принятому на работу;</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уволенному по собственному желанию, в том числе в связи с выходом на пенсию.</w:t>
      </w:r>
    </w:p>
    <w:p w:rsidR="00D603AD" w:rsidRPr="00D603AD" w:rsidRDefault="00D603AD" w:rsidP="00D603AD">
      <w:pPr>
        <w:tabs>
          <w:tab w:val="left" w:pos="0"/>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03AD">
        <w:rPr>
          <w:rFonts w:ascii="Times New Roman" w:eastAsia="Calibri" w:hAnsi="Times New Roman" w:cs="Times New Roman"/>
          <w:sz w:val="24"/>
          <w:szCs w:val="24"/>
          <w:lang w:eastAsia="ru-RU"/>
        </w:rPr>
        <w:t xml:space="preserve">При этом материальная помощь </w:t>
      </w:r>
      <w:r w:rsidRPr="00D603AD">
        <w:rPr>
          <w:rFonts w:ascii="Times New Roman" w:eastAsia="Times New Roman" w:hAnsi="Times New Roman" w:cs="Times New Roman"/>
          <w:sz w:val="24"/>
          <w:szCs w:val="24"/>
          <w:lang w:eastAsia="ru-RU"/>
        </w:rPr>
        <w:t xml:space="preserve">на профилактику заболеваний </w:t>
      </w:r>
      <w:r w:rsidRPr="00D603AD">
        <w:rPr>
          <w:rFonts w:ascii="Times New Roman" w:eastAsia="Calibri" w:hAnsi="Times New Roman" w:cs="Times New Roman"/>
          <w:sz w:val="24"/>
          <w:szCs w:val="24"/>
          <w:lang w:eastAsia="ru-RU"/>
        </w:rPr>
        <w:t>выплачивается, если                     у таких работников имеется заработанный отпуск в количестве не менее 14 календарных дней.</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Материальная помощь на профилактику заболеваний не выплачивается:</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работнику, принятому на работу по совместительству;</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работнику, заключившему срочный трудовой договор (сроком до двух месяцев);</w:t>
      </w:r>
    </w:p>
    <w:p w:rsidR="00D603AD" w:rsidRPr="00D603AD" w:rsidRDefault="00D603AD" w:rsidP="00D603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работнику, уволенному за виновные действия.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xml:space="preserve">55.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 </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Выплата премии осуществляется по согласованию с главным распорядителем бюджетных средств не позднее месяца, следующего после наступления события.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Размер единовременной премии не может превышать 10 тысяч рублей.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56.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
    <w:p w:rsidR="00D603AD" w:rsidRPr="00D603AD" w:rsidRDefault="00D603AD" w:rsidP="00D603AD">
      <w:pPr>
        <w:widowControl w:val="0"/>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VII</w:t>
      </w:r>
      <w:r w:rsidRPr="00D603AD">
        <w:rPr>
          <w:rFonts w:ascii="Times New Roman" w:eastAsia="Times New Roman" w:hAnsi="Times New Roman" w:cs="Times New Roman"/>
          <w:b/>
          <w:sz w:val="24"/>
          <w:szCs w:val="24"/>
          <w:lang w:eastAsia="ru-RU"/>
        </w:rPr>
        <w:t>. Порядок формирования фонда оплаты труда организации</w:t>
      </w:r>
    </w:p>
    <w:p w:rsidR="00D603AD" w:rsidRPr="00D603AD" w:rsidRDefault="00D603AD" w:rsidP="00D603AD">
      <w:pPr>
        <w:widowControl w:val="0"/>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57. Фонд оплаты труда работников формируется из расчёта на 12 месяцев, исходя                      из объёма субсидий, предоставляемых из бюджета автономного округа, местного бюджета                на финансовое обеспечение выполнения муниципального задания, и средств, поступающих                 от иной приносящей доход деятельности.</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58. При формировании фонда оплаты труда:</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пунктами 1, 2, 3 таблицы 11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 на иные выплаты до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3AD">
        <w:rPr>
          <w:rFonts w:ascii="Times New Roman" w:eastAsia="Times New Roman" w:hAnsi="Times New Roman" w:cs="Times New Roman"/>
          <w:sz w:val="24"/>
          <w:szCs w:val="24"/>
          <w:lang w:eastAsia="ru-RU"/>
        </w:rPr>
        <w:t>Учитываются средства на доплату до уровня минимальной заработной платы                              в соответствии с пунктом 9 настоящего положения.</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59.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60. Главный распорядитель бюджетных средств предусматривает поэтапное снижение доли оплаты труда работников административно-управленческого и вспомогательного персонала в фонде оплаты организации до 40%, в том числе с учетом достижения соответствующего целевого показателя реализуемой ими муниципальной «дорожной карты».</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03AD">
        <w:rPr>
          <w:rFonts w:ascii="Times New Roman" w:eastAsia="Times New Roman" w:hAnsi="Times New Roman" w:cs="Times New Roman"/>
          <w:bCs/>
          <w:sz w:val="24"/>
          <w:szCs w:val="24"/>
          <w:lang w:eastAsia="ru-RU"/>
        </w:rPr>
        <w:t>Перечень должностей, относимых к административно-управленческому, вспомогательному и основному персоналу организации, утверждается приказом главного распорядителя бюджетных средств.</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603AD">
        <w:rPr>
          <w:rFonts w:ascii="Times New Roman" w:eastAsia="Times New Roman" w:hAnsi="Times New Roman" w:cs="Times New Roman"/>
          <w:b/>
          <w:sz w:val="24"/>
          <w:szCs w:val="24"/>
          <w:lang w:val="en-US" w:eastAsia="ru-RU"/>
        </w:rPr>
        <w:t>VIII</w:t>
      </w:r>
      <w:r w:rsidRPr="00D603AD">
        <w:rPr>
          <w:rFonts w:ascii="Times New Roman" w:eastAsia="Times New Roman" w:hAnsi="Times New Roman" w:cs="Times New Roman"/>
          <w:b/>
          <w:sz w:val="24"/>
          <w:szCs w:val="24"/>
          <w:lang w:eastAsia="ru-RU"/>
        </w:rPr>
        <w:t>. Заключительные положения</w:t>
      </w:r>
    </w:p>
    <w:p w:rsidR="00D603AD" w:rsidRPr="00D603AD" w:rsidRDefault="00D603AD" w:rsidP="00D603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61. 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Требованиям                        к системам оплаты труда работников государственных учреждений Ханты - Мансийского автономного округа – Югры, утвержденных постановлением Правительства                                  Ханты - Мансийского автономного округа – Югры от 03.11.2016 № 431-п.</w:t>
      </w:r>
    </w:p>
    <w:p w:rsidR="00D603AD" w:rsidRPr="00D603AD" w:rsidRDefault="00D603AD" w:rsidP="00D603A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D603AD">
        <w:rPr>
          <w:rFonts w:ascii="Times New Roman" w:eastAsia="Times New Roman" w:hAnsi="Times New Roman" w:cs="Times New Roman"/>
          <w:sz w:val="24"/>
          <w:szCs w:val="24"/>
          <w:lang w:eastAsia="ru-RU"/>
        </w:rPr>
        <w:t>62. Порядок согласования организационной структуры и предельной штатной численности для бюджетных организаций, организационной структуры для автономных организаций устанавливается главным распорядителем бюджетных средств.</w:t>
      </w:r>
    </w:p>
    <w:p w:rsidR="00BD2A3A" w:rsidRPr="00D603AD" w:rsidRDefault="00D603AD" w:rsidP="00D603AD">
      <w:pPr>
        <w:spacing w:after="0" w:line="240" w:lineRule="auto"/>
        <w:ind w:firstLine="709"/>
        <w:jc w:val="both"/>
        <w:rPr>
          <w:rFonts w:ascii="Times New Roman" w:hAnsi="Times New Roman" w:cs="Times New Roman"/>
          <w:sz w:val="24"/>
          <w:szCs w:val="24"/>
        </w:rPr>
      </w:pPr>
      <w:r w:rsidRPr="00D603AD">
        <w:rPr>
          <w:rFonts w:ascii="Times New Roman" w:eastAsia="Times New Roman" w:hAnsi="Times New Roman" w:cs="Times New Roman"/>
          <w:sz w:val="24"/>
          <w:szCs w:val="24"/>
          <w:lang w:eastAsia="ru-RU"/>
        </w:rPr>
        <w:t>63. 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r>
        <w:rPr>
          <w:rFonts w:ascii="Times New Roman" w:eastAsia="Times New Roman" w:hAnsi="Times New Roman" w:cs="Times New Roman"/>
          <w:sz w:val="24"/>
          <w:szCs w:val="24"/>
          <w:lang w:eastAsia="ru-RU"/>
        </w:rPr>
        <w:t>.</w:t>
      </w:r>
    </w:p>
    <w:sectPr w:rsidR="00BD2A3A" w:rsidRPr="00D603AD" w:rsidSect="00D603A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0B" w:rsidRDefault="00BF390B">
      <w:pPr>
        <w:spacing w:after="0" w:line="240" w:lineRule="auto"/>
      </w:pPr>
      <w:r>
        <w:separator/>
      </w:r>
    </w:p>
  </w:endnote>
  <w:endnote w:type="continuationSeparator" w:id="0">
    <w:p w:rsidR="00BF390B" w:rsidRDefault="00BF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0B" w:rsidRDefault="00BF390B">
      <w:pPr>
        <w:spacing w:after="0" w:line="240" w:lineRule="auto"/>
      </w:pPr>
      <w:r>
        <w:separator/>
      </w:r>
    </w:p>
  </w:footnote>
  <w:footnote w:type="continuationSeparator" w:id="0">
    <w:p w:rsidR="00BF390B" w:rsidRDefault="00BF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AD" w:rsidRDefault="00D603AD" w:rsidP="00612FD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603AD" w:rsidRDefault="00D603A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F0"/>
    <w:rsid w:val="0007730D"/>
    <w:rsid w:val="003D38F0"/>
    <w:rsid w:val="005832CF"/>
    <w:rsid w:val="006A1BE4"/>
    <w:rsid w:val="00AF3D75"/>
    <w:rsid w:val="00B540C3"/>
    <w:rsid w:val="00BD2A3A"/>
    <w:rsid w:val="00BE0707"/>
    <w:rsid w:val="00BF390B"/>
    <w:rsid w:val="00D6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9280A-B303-4E14-B9AE-6DC24AE4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603A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D603A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603AD"/>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D603AD"/>
    <w:pPr>
      <w:keepNext/>
      <w:spacing w:after="0" w:line="240" w:lineRule="auto"/>
      <w:jc w:val="center"/>
      <w:outlineLvl w:val="3"/>
    </w:pPr>
    <w:rPr>
      <w:rFonts w:ascii="Times New Roman" w:eastAsia="Times New Roman" w:hAnsi="Times New Roman" w:cs="Times New Roman"/>
      <w:sz w:val="40"/>
      <w:szCs w:val="24"/>
      <w:lang w:eastAsia="ru-RU"/>
    </w:rPr>
  </w:style>
  <w:style w:type="paragraph" w:styleId="5">
    <w:name w:val="heading 5"/>
    <w:basedOn w:val="a"/>
    <w:next w:val="a"/>
    <w:link w:val="50"/>
    <w:qFormat/>
    <w:rsid w:val="00D603AD"/>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7">
    <w:name w:val="heading 7"/>
    <w:basedOn w:val="a"/>
    <w:next w:val="a"/>
    <w:link w:val="70"/>
    <w:uiPriority w:val="9"/>
    <w:qFormat/>
    <w:rsid w:val="00D603A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3A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603A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603AD"/>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D603AD"/>
    <w:rPr>
      <w:rFonts w:ascii="Times New Roman" w:eastAsia="Times New Roman" w:hAnsi="Times New Roman" w:cs="Times New Roman"/>
      <w:sz w:val="40"/>
      <w:szCs w:val="24"/>
      <w:lang w:eastAsia="ru-RU"/>
    </w:rPr>
  </w:style>
  <w:style w:type="character" w:customStyle="1" w:styleId="50">
    <w:name w:val="Заголовок 5 Знак"/>
    <w:basedOn w:val="a0"/>
    <w:link w:val="5"/>
    <w:rsid w:val="00D603AD"/>
    <w:rPr>
      <w:rFonts w:ascii="Times New Roman" w:eastAsia="Times New Roman" w:hAnsi="Times New Roman" w:cs="Times New Roman"/>
      <w:sz w:val="44"/>
      <w:szCs w:val="24"/>
      <w:lang w:eastAsia="ru-RU"/>
    </w:rPr>
  </w:style>
  <w:style w:type="character" w:customStyle="1" w:styleId="70">
    <w:name w:val="Заголовок 7 Знак"/>
    <w:basedOn w:val="a0"/>
    <w:link w:val="7"/>
    <w:uiPriority w:val="9"/>
    <w:rsid w:val="00D603A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603AD"/>
  </w:style>
  <w:style w:type="paragraph" w:styleId="a3">
    <w:name w:val="Balloon Text"/>
    <w:basedOn w:val="a"/>
    <w:link w:val="a4"/>
    <w:uiPriority w:val="99"/>
    <w:semiHidden/>
    <w:rsid w:val="00D603A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603AD"/>
    <w:rPr>
      <w:rFonts w:ascii="Tahoma" w:eastAsia="Times New Roman" w:hAnsi="Tahoma" w:cs="Tahoma"/>
      <w:sz w:val="16"/>
      <w:szCs w:val="16"/>
      <w:lang w:eastAsia="ru-RU"/>
    </w:rPr>
  </w:style>
  <w:style w:type="paragraph" w:styleId="a5">
    <w:name w:val="Body Text"/>
    <w:basedOn w:val="a"/>
    <w:link w:val="a6"/>
    <w:uiPriority w:val="99"/>
    <w:rsid w:val="00D603AD"/>
    <w:pPr>
      <w:widowControl w:val="0"/>
      <w:spacing w:after="0" w:line="240" w:lineRule="auto"/>
      <w:ind w:right="200"/>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uiPriority w:val="99"/>
    <w:rsid w:val="00D603AD"/>
    <w:rPr>
      <w:rFonts w:ascii="Times New Roman" w:eastAsia="Times New Roman" w:hAnsi="Times New Roman" w:cs="Times New Roman"/>
      <w:b/>
      <w:sz w:val="28"/>
      <w:szCs w:val="20"/>
      <w:lang w:eastAsia="ru-RU"/>
    </w:rPr>
  </w:style>
  <w:style w:type="paragraph" w:customStyle="1" w:styleId="21">
    <w:name w:val="Основной текст 21"/>
    <w:basedOn w:val="a"/>
    <w:rsid w:val="00D603AD"/>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7">
    <w:name w:val="Цветовое выделение"/>
    <w:rsid w:val="00D603AD"/>
    <w:rPr>
      <w:b/>
      <w:bCs/>
      <w:color w:val="000080"/>
      <w:sz w:val="20"/>
      <w:szCs w:val="20"/>
    </w:rPr>
  </w:style>
  <w:style w:type="paragraph" w:customStyle="1" w:styleId="ConsPlusTitle">
    <w:name w:val="ConsPlusTitle"/>
    <w:rsid w:val="00D603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D603AD"/>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D603A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D603A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603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D603AD"/>
    <w:rPr>
      <w:color w:val="0000FF"/>
      <w:u w:val="single"/>
    </w:rPr>
  </w:style>
  <w:style w:type="paragraph" w:customStyle="1" w:styleId="ab">
    <w:name w:val="Знак"/>
    <w:basedOn w:val="a"/>
    <w:rsid w:val="00D603AD"/>
    <w:pPr>
      <w:spacing w:after="160" w:line="240" w:lineRule="exact"/>
    </w:pPr>
    <w:rPr>
      <w:rFonts w:ascii="Verdana" w:eastAsia="Times New Roman" w:hAnsi="Verdana" w:cs="Times New Roman"/>
      <w:sz w:val="20"/>
      <w:szCs w:val="20"/>
      <w:lang w:val="en-US"/>
    </w:rPr>
  </w:style>
  <w:style w:type="paragraph" w:customStyle="1" w:styleId="ac">
    <w:name w:val="Знак"/>
    <w:basedOn w:val="a"/>
    <w:rsid w:val="00D603AD"/>
    <w:pPr>
      <w:spacing w:after="160" w:line="240" w:lineRule="exact"/>
    </w:pPr>
    <w:rPr>
      <w:rFonts w:ascii="Verdana" w:eastAsia="Times New Roman" w:hAnsi="Verdana" w:cs="Times New Roman"/>
      <w:sz w:val="20"/>
      <w:szCs w:val="20"/>
      <w:lang w:val="en-US"/>
    </w:rPr>
  </w:style>
  <w:style w:type="paragraph" w:customStyle="1" w:styleId="ad">
    <w:name w:val="Знак Знак Знак Знак Знак Знак Знак Знак Знак Знак"/>
    <w:basedOn w:val="a"/>
    <w:rsid w:val="00D603AD"/>
    <w:pPr>
      <w:spacing w:after="160" w:line="240" w:lineRule="exact"/>
    </w:pPr>
    <w:rPr>
      <w:rFonts w:ascii="Verdana" w:eastAsia="Times New Roman" w:hAnsi="Verdana" w:cs="Verdana"/>
      <w:sz w:val="20"/>
      <w:szCs w:val="20"/>
      <w:lang w:val="en-US"/>
    </w:rPr>
  </w:style>
  <w:style w:type="paragraph" w:styleId="ae">
    <w:name w:val="header"/>
    <w:basedOn w:val="a"/>
    <w:link w:val="af"/>
    <w:uiPriority w:val="99"/>
    <w:rsid w:val="00D603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D603AD"/>
    <w:rPr>
      <w:rFonts w:ascii="Times New Roman" w:eastAsia="Times New Roman" w:hAnsi="Times New Roman" w:cs="Times New Roman"/>
      <w:sz w:val="24"/>
      <w:szCs w:val="24"/>
      <w:lang w:eastAsia="ru-RU"/>
    </w:rPr>
  </w:style>
  <w:style w:type="character" w:styleId="af0">
    <w:name w:val="page number"/>
    <w:basedOn w:val="a0"/>
    <w:rsid w:val="00D603AD"/>
  </w:style>
  <w:style w:type="paragraph" w:customStyle="1" w:styleId="ConsNonformat">
    <w:name w:val="ConsNonformat"/>
    <w:rsid w:val="00D603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3"/>
    <w:basedOn w:val="a"/>
    <w:link w:val="32"/>
    <w:rsid w:val="00D603A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03AD"/>
    <w:rPr>
      <w:rFonts w:ascii="Times New Roman" w:eastAsia="Times New Roman" w:hAnsi="Times New Roman" w:cs="Times New Roman"/>
      <w:sz w:val="16"/>
      <w:szCs w:val="16"/>
      <w:lang w:eastAsia="ru-RU"/>
    </w:rPr>
  </w:style>
  <w:style w:type="paragraph" w:styleId="af1">
    <w:name w:val="Title"/>
    <w:basedOn w:val="a"/>
    <w:link w:val="af2"/>
    <w:qFormat/>
    <w:rsid w:val="00D603AD"/>
    <w:pPr>
      <w:spacing w:after="0" w:line="240" w:lineRule="auto"/>
      <w:jc w:val="center"/>
    </w:pPr>
    <w:rPr>
      <w:rFonts w:ascii="Times New Roman" w:eastAsia="Times New Roman" w:hAnsi="Times New Roman" w:cs="Times New Roman"/>
      <w:spacing w:val="20"/>
      <w:sz w:val="28"/>
      <w:szCs w:val="24"/>
      <w:lang w:eastAsia="ru-RU"/>
    </w:rPr>
  </w:style>
  <w:style w:type="character" w:customStyle="1" w:styleId="af2">
    <w:name w:val="Заголовок Знак"/>
    <w:basedOn w:val="a0"/>
    <w:link w:val="af1"/>
    <w:rsid w:val="00D603AD"/>
    <w:rPr>
      <w:rFonts w:ascii="Times New Roman" w:eastAsia="Times New Roman" w:hAnsi="Times New Roman" w:cs="Times New Roman"/>
      <w:spacing w:val="20"/>
      <w:sz w:val="28"/>
      <w:szCs w:val="24"/>
      <w:lang w:eastAsia="ru-RU"/>
    </w:rPr>
  </w:style>
  <w:style w:type="paragraph" w:styleId="af3">
    <w:name w:val="footer"/>
    <w:basedOn w:val="a"/>
    <w:link w:val="af4"/>
    <w:uiPriority w:val="99"/>
    <w:rsid w:val="00D603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D603AD"/>
    <w:rPr>
      <w:rFonts w:ascii="Times New Roman" w:eastAsia="Times New Roman" w:hAnsi="Times New Roman" w:cs="Times New Roman"/>
      <w:sz w:val="24"/>
      <w:szCs w:val="24"/>
      <w:lang w:eastAsia="ru-RU"/>
    </w:rPr>
  </w:style>
  <w:style w:type="paragraph" w:styleId="af5">
    <w:name w:val="E-mail Signature"/>
    <w:basedOn w:val="a"/>
    <w:link w:val="af6"/>
    <w:uiPriority w:val="99"/>
    <w:unhideWhenUsed/>
    <w:rsid w:val="00D603AD"/>
    <w:pPr>
      <w:spacing w:after="0" w:line="240" w:lineRule="auto"/>
      <w:jc w:val="both"/>
    </w:pPr>
    <w:rPr>
      <w:rFonts w:ascii="Calibri" w:eastAsia="Times New Roman" w:hAnsi="Calibri" w:cs="Times New Roman"/>
      <w:sz w:val="20"/>
      <w:szCs w:val="20"/>
      <w:lang w:eastAsia="ru-RU"/>
    </w:rPr>
  </w:style>
  <w:style w:type="character" w:customStyle="1" w:styleId="af6">
    <w:name w:val="Электронная подпись Знак"/>
    <w:basedOn w:val="a0"/>
    <w:link w:val="af5"/>
    <w:uiPriority w:val="99"/>
    <w:rsid w:val="00D603AD"/>
    <w:rPr>
      <w:rFonts w:ascii="Calibri" w:eastAsia="Times New Roman" w:hAnsi="Calibri" w:cs="Times New Roman"/>
      <w:sz w:val="20"/>
      <w:szCs w:val="20"/>
      <w:lang w:eastAsia="ru-RU"/>
    </w:rPr>
  </w:style>
  <w:style w:type="table" w:customStyle="1" w:styleId="12">
    <w:name w:val="Стиль1"/>
    <w:basedOn w:val="a1"/>
    <w:uiPriority w:val="99"/>
    <w:qFormat/>
    <w:rsid w:val="00D603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D603A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35">
    <w:name w:val="Font Style35"/>
    <w:uiPriority w:val="99"/>
    <w:rsid w:val="00D603AD"/>
    <w:rPr>
      <w:rFonts w:ascii="Times New Roman" w:hAnsi="Times New Roman" w:cs="Times New Roman" w:hint="default"/>
      <w:sz w:val="24"/>
      <w:szCs w:val="24"/>
    </w:rPr>
  </w:style>
  <w:style w:type="paragraph" w:styleId="af7">
    <w:name w:val="Normal (Web)"/>
    <w:basedOn w:val="a"/>
    <w:uiPriority w:val="99"/>
    <w:unhideWhenUsed/>
    <w:rsid w:val="00D603A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8">
    <w:name w:val="No Spacing"/>
    <w:uiPriority w:val="1"/>
    <w:qFormat/>
    <w:rsid w:val="00D603AD"/>
    <w:pPr>
      <w:spacing w:after="0" w:line="240" w:lineRule="auto"/>
      <w:jc w:val="both"/>
    </w:pPr>
    <w:rPr>
      <w:rFonts w:ascii="Times New Roman" w:eastAsia="Times New Roman" w:hAnsi="Times New Roman" w:cs="Times New Roman"/>
      <w:sz w:val="20"/>
      <w:szCs w:val="20"/>
      <w:lang w:eastAsia="ru-RU"/>
    </w:rPr>
  </w:style>
  <w:style w:type="character" w:styleId="af9">
    <w:name w:val="Strong"/>
    <w:uiPriority w:val="22"/>
    <w:qFormat/>
    <w:rsid w:val="00D603AD"/>
    <w:rPr>
      <w:b/>
      <w:bCs/>
    </w:rPr>
  </w:style>
  <w:style w:type="numbering" w:customStyle="1" w:styleId="110">
    <w:name w:val="Нет списка11"/>
    <w:next w:val="a2"/>
    <w:uiPriority w:val="99"/>
    <w:semiHidden/>
    <w:unhideWhenUsed/>
    <w:rsid w:val="00D603AD"/>
  </w:style>
  <w:style w:type="paragraph" w:customStyle="1" w:styleId="ConsPlusCell">
    <w:name w:val="ConsPlusCell"/>
    <w:rsid w:val="00D603A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DocList">
    <w:name w:val="ConsPlusDocList"/>
    <w:rsid w:val="00D603A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D603AD"/>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D603AD"/>
    <w:pPr>
      <w:widowControl w:val="0"/>
      <w:autoSpaceDE w:val="0"/>
      <w:autoSpaceDN w:val="0"/>
      <w:spacing w:after="0" w:line="240" w:lineRule="auto"/>
      <w:jc w:val="both"/>
    </w:pPr>
    <w:rPr>
      <w:rFonts w:ascii="Tahoma" w:eastAsia="Times New Roman" w:hAnsi="Tahoma" w:cs="Tahoma"/>
      <w:sz w:val="26"/>
      <w:szCs w:val="20"/>
      <w:lang w:eastAsia="ru-RU"/>
    </w:rPr>
  </w:style>
  <w:style w:type="table" w:customStyle="1" w:styleId="14">
    <w:name w:val="Сетка таблицы1"/>
    <w:basedOn w:val="a1"/>
    <w:next w:val="a8"/>
    <w:uiPriority w:val="59"/>
    <w:rsid w:val="00D60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D603AD"/>
  </w:style>
  <w:style w:type="table" w:customStyle="1" w:styleId="23">
    <w:name w:val="Сетка таблицы2"/>
    <w:basedOn w:val="a1"/>
    <w:next w:val="a8"/>
    <w:uiPriority w:val="59"/>
    <w:rsid w:val="00D60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8"/>
    <w:uiPriority w:val="59"/>
    <w:rsid w:val="00D60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unhideWhenUsed/>
    <w:rsid w:val="00D603AD"/>
    <w:rPr>
      <w:sz w:val="16"/>
      <w:szCs w:val="16"/>
    </w:rPr>
  </w:style>
  <w:style w:type="paragraph" w:styleId="afb">
    <w:name w:val="annotation text"/>
    <w:basedOn w:val="a"/>
    <w:link w:val="afc"/>
    <w:uiPriority w:val="99"/>
    <w:unhideWhenUsed/>
    <w:rsid w:val="00D603AD"/>
    <w:pPr>
      <w:spacing w:after="0" w:line="240" w:lineRule="auto"/>
      <w:jc w:val="both"/>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D603A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D603AD"/>
    <w:rPr>
      <w:b/>
      <w:bCs/>
    </w:rPr>
  </w:style>
  <w:style w:type="character" w:customStyle="1" w:styleId="afe">
    <w:name w:val="Тема примечания Знак"/>
    <w:basedOn w:val="afc"/>
    <w:link w:val="afd"/>
    <w:uiPriority w:val="99"/>
    <w:rsid w:val="00D603AD"/>
    <w:rPr>
      <w:rFonts w:ascii="Times New Roman" w:eastAsia="Times New Roman" w:hAnsi="Times New Roman" w:cs="Times New Roman"/>
      <w:b/>
      <w:bCs/>
      <w:sz w:val="20"/>
      <w:szCs w:val="20"/>
      <w:lang w:eastAsia="ru-RU"/>
    </w:rPr>
  </w:style>
  <w:style w:type="paragraph" w:styleId="aff">
    <w:name w:val="Revision"/>
    <w:hidden/>
    <w:uiPriority w:val="99"/>
    <w:semiHidden/>
    <w:rsid w:val="00D603AD"/>
    <w:pPr>
      <w:spacing w:after="0" w:line="240" w:lineRule="auto"/>
    </w:pPr>
    <w:rPr>
      <w:rFonts w:ascii="Times New Roman" w:eastAsia="Times New Roman" w:hAnsi="Times New Roman" w:cs="Times New Roman"/>
      <w:sz w:val="20"/>
      <w:szCs w:val="20"/>
      <w:lang w:eastAsia="ru-RU"/>
    </w:rPr>
  </w:style>
  <w:style w:type="paragraph" w:customStyle="1" w:styleId="15">
    <w:name w:val="Знак1 Знак Знак Знак"/>
    <w:basedOn w:val="a"/>
    <w:rsid w:val="00D603AD"/>
    <w:pPr>
      <w:spacing w:after="0" w:line="240" w:lineRule="auto"/>
    </w:pPr>
    <w:rPr>
      <w:rFonts w:ascii="Verdana" w:eastAsia="Times New Roman" w:hAnsi="Verdana" w:cs="Verdana"/>
      <w:sz w:val="20"/>
      <w:szCs w:val="20"/>
      <w:lang w:val="en-US"/>
    </w:rPr>
  </w:style>
  <w:style w:type="paragraph" w:customStyle="1" w:styleId="Heading">
    <w:name w:val="Heading"/>
    <w:rsid w:val="00D603A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uiPriority w:val="99"/>
    <w:rsid w:val="00D603AD"/>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ACFEA8BB9521EF634A060CFD31DF2FB790EC13BDBC99E5DEFE774E17BE9P" TargetMode="External"/><Relationship Id="rId13" Type="http://schemas.openxmlformats.org/officeDocument/2006/relationships/hyperlink" Target="consultantplus://offline/ref=EA3ACFEA8BB9521EF634A060CFD31DF2FB7A01C038D7C99E5DEFE774E17BE9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EA3ACFEA8BB9521EF634A060CFD31DF2FB7301C03BDFC99E5DEFE774E17BE9P" TargetMode="External"/><Relationship Id="rId17" Type="http://schemas.openxmlformats.org/officeDocument/2006/relationships/hyperlink" Target="consultantplus://offline/ref=EA3ACFEA8BB9521EF634A060CFD31DF2FB7200C73ED8C99E5DEFE774E1B93A1CEF1BF7975AE4617E76E1P" TargetMode="External"/><Relationship Id="rId2" Type="http://schemas.openxmlformats.org/officeDocument/2006/relationships/settings" Target="settings.xml"/><Relationship Id="rId16" Type="http://schemas.openxmlformats.org/officeDocument/2006/relationships/hyperlink" Target="consultantplus://offline/ref=EA3ACFEA8BB9521EF634A060CFD31DF2FB7200C73ED8C99E5DEFE774E1B93A1CEF1BF7915A7EE2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A3ACFEA8BB9521EF634A060CFD31DF2FB7A01C038D7C99E5DEFE774E17BE9P" TargetMode="External"/><Relationship Id="rId5" Type="http://schemas.openxmlformats.org/officeDocument/2006/relationships/endnotes" Target="endnotes.xml"/><Relationship Id="rId15" Type="http://schemas.openxmlformats.org/officeDocument/2006/relationships/hyperlink" Target="consultantplus://offline/ref=EA3ACFEA8BB9521EF634BE6DD9BF4AFDFC7059CF3EDEC7CD06B9E123BEE93C49AF75EBP" TargetMode="External"/><Relationship Id="rId10" Type="http://schemas.openxmlformats.org/officeDocument/2006/relationships/hyperlink" Target="consultantplus://offline/ref=EA3ACFEA8BB9521EF634A060CFD31DF2FF7307C73CD4949455B6EB767EE6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EA3ACFEA8BB9521EF634A060CFD31DF2F27D02C03CD4949455B6EB767EE6P" TargetMode="External"/><Relationship Id="rId14" Type="http://schemas.openxmlformats.org/officeDocument/2006/relationships/hyperlink" Target="consultantplus://offline/ref=EA3ACFEA8BB9521EF634A060CFD31DF2FB7200C73ED8C99E5DEFE774E1B93A1CEF1BF7975AE7647C76E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10321</Words>
  <Characters>58835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Лариса Анатольевна</dc:creator>
  <cp:keywords/>
  <dc:description/>
  <cp:lastModifiedBy>Виталий</cp:lastModifiedBy>
  <cp:revision>2</cp:revision>
  <dcterms:created xsi:type="dcterms:W3CDTF">2022-11-28T16:37:00Z</dcterms:created>
  <dcterms:modified xsi:type="dcterms:W3CDTF">2022-11-28T16:37:00Z</dcterms:modified>
</cp:coreProperties>
</file>